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51" w:rsidRDefault="00FE5451" w:rsidP="00BA6704">
      <w:pPr>
        <w:jc w:val="right"/>
      </w:pPr>
    </w:p>
    <w:p w:rsidR="00462BEB" w:rsidRDefault="006A6167" w:rsidP="00BA6704">
      <w:pPr>
        <w:jc w:val="right"/>
      </w:pPr>
      <w:r>
        <w:t xml:space="preserve"> 31</w:t>
      </w:r>
      <w:r w:rsidR="00FE5451">
        <w:t>.08.2017</w:t>
      </w:r>
    </w:p>
    <w:p w:rsidR="003D4E71" w:rsidRDefault="003D4E71" w:rsidP="0024649F">
      <w:proofErr w:type="spellStart"/>
      <w:r>
        <w:t>Kontali</w:t>
      </w:r>
      <w:proofErr w:type="spellEnd"/>
      <w:r>
        <w:t xml:space="preserve"> Analyse AS</w:t>
      </w:r>
      <w:proofErr w:type="gramStart"/>
      <w:r w:rsidR="008552CA">
        <w:t>/  NFKK</w:t>
      </w:r>
      <w:proofErr w:type="gramEnd"/>
    </w:p>
    <w:p w:rsidR="003D4E71" w:rsidRDefault="003D4E71" w:rsidP="0024649F"/>
    <w:p w:rsidR="008552CA" w:rsidRDefault="008552CA" w:rsidP="00A9529A">
      <w:pPr>
        <w:rPr>
          <w:sz w:val="28"/>
          <w:szCs w:val="28"/>
        </w:rPr>
      </w:pPr>
    </w:p>
    <w:p w:rsidR="00A9529A" w:rsidRDefault="00A9529A" w:rsidP="00A9529A">
      <w:pPr>
        <w:rPr>
          <w:sz w:val="28"/>
          <w:szCs w:val="28"/>
        </w:rPr>
      </w:pPr>
      <w:r w:rsidRPr="00983682">
        <w:rPr>
          <w:sz w:val="28"/>
          <w:szCs w:val="28"/>
        </w:rPr>
        <w:t>Juridisk betenkning om WTO og eksportbegrensninger. Regelverk og praksis</w:t>
      </w:r>
      <w:r w:rsidR="00E0706E">
        <w:rPr>
          <w:sz w:val="28"/>
          <w:szCs w:val="28"/>
        </w:rPr>
        <w:t>. Vurdering av en produksjonsavgift til fordel for oppdrettskommunene</w:t>
      </w:r>
    </w:p>
    <w:p w:rsidR="008552CA" w:rsidRDefault="008552CA" w:rsidP="00A9529A">
      <w:pPr>
        <w:rPr>
          <w:sz w:val="28"/>
          <w:szCs w:val="28"/>
        </w:rPr>
      </w:pPr>
    </w:p>
    <w:p w:rsidR="008552CA" w:rsidRDefault="008552CA" w:rsidP="00A9529A">
      <w:r>
        <w:t>Innledning</w:t>
      </w:r>
    </w:p>
    <w:p w:rsidR="002317E3" w:rsidRDefault="002317E3" w:rsidP="00A9529A">
      <w:r>
        <w:t xml:space="preserve">Det vises til </w:t>
      </w:r>
      <w:proofErr w:type="spellStart"/>
      <w:r>
        <w:t>oppdragsavtale</w:t>
      </w:r>
      <w:proofErr w:type="spellEnd"/>
      <w:r>
        <w:t xml:space="preserve"> av 07.08.2017.</w:t>
      </w:r>
    </w:p>
    <w:p w:rsidR="00E0706E" w:rsidRDefault="00E0706E" w:rsidP="00A9529A"/>
    <w:p w:rsidR="008552CA" w:rsidRPr="008552CA" w:rsidRDefault="002317E3" w:rsidP="00A9529A">
      <w:r>
        <w:t>I</w:t>
      </w:r>
      <w:r w:rsidR="008552CA" w:rsidRPr="008552CA">
        <w:t xml:space="preserve"> denne betenkningen </w:t>
      </w:r>
      <w:r w:rsidR="00E0706E">
        <w:t xml:space="preserve">vil det </w:t>
      </w:r>
      <w:r w:rsidR="008552CA" w:rsidRPr="008552CA">
        <w:t>bli</w:t>
      </w:r>
      <w:r>
        <w:t xml:space="preserve"> </w:t>
      </w:r>
      <w:r w:rsidR="008552CA" w:rsidRPr="008552CA">
        <w:t xml:space="preserve">gitt en </w:t>
      </w:r>
      <w:r w:rsidR="008552CA">
        <w:t>generell gjennomgåelse av WTO/GATTs regler</w:t>
      </w:r>
      <w:r>
        <w:t xml:space="preserve"> og behandling av tvister</w:t>
      </w:r>
      <w:r w:rsidR="008552CA">
        <w:t xml:space="preserve"> </w:t>
      </w:r>
      <w:r>
        <w:t>om eksportbegrensninger.</w:t>
      </w:r>
      <w:r w:rsidR="00E0706E">
        <w:t xml:space="preserve"> </w:t>
      </w:r>
      <w:r>
        <w:t xml:space="preserve">I betenkningen vil </w:t>
      </w:r>
      <w:r w:rsidR="00E0706E">
        <w:t>særlig bli vurdert dette regelverket sett</w:t>
      </w:r>
      <w:r w:rsidR="008552CA">
        <w:t xml:space="preserve"> </w:t>
      </w:r>
      <w:r>
        <w:t xml:space="preserve">i forhold til </w:t>
      </w:r>
      <w:r w:rsidR="008552CA">
        <w:t>den påtenkte produksjonsavgiften (beregnet av eksport</w:t>
      </w:r>
      <w:r w:rsidR="00D65EE9">
        <w:t>ert kvantum</w:t>
      </w:r>
      <w:bookmarkStart w:id="0" w:name="_GoBack"/>
      <w:bookmarkEnd w:id="0"/>
      <w:r w:rsidR="008552CA">
        <w:t>)</w:t>
      </w:r>
      <w:r>
        <w:t xml:space="preserve"> </w:t>
      </w:r>
      <w:r w:rsidR="00E0706E">
        <w:t>til fordel for oppdrettskommunene</w:t>
      </w:r>
      <w:r w:rsidR="008552CA">
        <w:t xml:space="preserve">. </w:t>
      </w:r>
    </w:p>
    <w:p w:rsidR="00A9529A" w:rsidRDefault="00A9529A" w:rsidP="00A9529A"/>
    <w:p w:rsidR="00A9529A" w:rsidRDefault="00A9529A" w:rsidP="00A9529A">
      <w:r>
        <w:t>A. Kortfattet fremstilling av WTO/</w:t>
      </w:r>
      <w:proofErr w:type="gramStart"/>
      <w:r>
        <w:t>GATT</w:t>
      </w:r>
      <w:r w:rsidR="00221276">
        <w:rPr>
          <w:rStyle w:val="Fotnotereferanse"/>
        </w:rPr>
        <w:footnoteReference w:id="1"/>
      </w:r>
      <w:r>
        <w:t xml:space="preserve">  og</w:t>
      </w:r>
      <w:proofErr w:type="gramEnd"/>
      <w:r>
        <w:t xml:space="preserve"> rettssituasjonen </w:t>
      </w:r>
      <w:proofErr w:type="spellStart"/>
      <w:r>
        <w:t>mht</w:t>
      </w:r>
      <w:proofErr w:type="spellEnd"/>
      <w:r>
        <w:t xml:space="preserve"> eksportbegrensninger</w:t>
      </w:r>
    </w:p>
    <w:p w:rsidR="00A9529A" w:rsidRDefault="00A9529A" w:rsidP="00A9529A"/>
    <w:p w:rsidR="00A9529A" w:rsidRDefault="00A9529A" w:rsidP="00A9529A">
      <w:r>
        <w:t>1. Definisjon</w:t>
      </w:r>
    </w:p>
    <w:p w:rsidR="005E75B9" w:rsidRDefault="005E75B9" w:rsidP="00A9529A"/>
    <w:p w:rsidR="00A9529A" w:rsidRDefault="00A9529A" w:rsidP="00A9529A">
      <w:r>
        <w:t>«</w:t>
      </w:r>
      <w:r w:rsidRPr="00FE5451">
        <w:rPr>
          <w:i/>
        </w:rPr>
        <w:t>Eksportrestriksjoner»</w:t>
      </w:r>
      <w:r>
        <w:t xml:space="preserve"> kan defineres som en offentlig bestemmelse som uttrykkelig begrenser mengden av eksporten av en vare (ved forbud eller kvoter), som stiller betingelser for når eksport er tillatt </w:t>
      </w:r>
      <w:r w:rsidR="00E0706E">
        <w:t>(</w:t>
      </w:r>
      <w:r w:rsidR="00FE5451">
        <w:t xml:space="preserve">for eksempel minste-eksportpriser) </w:t>
      </w:r>
      <w:r>
        <w:t xml:space="preserve">eller som pålegger eksportavgifter e.l. </w:t>
      </w:r>
    </w:p>
    <w:p w:rsidR="00FE5451" w:rsidRDefault="00FE5451" w:rsidP="00A9529A"/>
    <w:p w:rsidR="00A9529A" w:rsidRDefault="00A9529A" w:rsidP="00A9529A">
      <w:r>
        <w:t>2. Alminnelig forbud</w:t>
      </w:r>
    </w:p>
    <w:p w:rsidR="005E75B9" w:rsidRDefault="005E75B9" w:rsidP="00A9529A"/>
    <w:p w:rsidR="00A9529A" w:rsidRDefault="00A9529A" w:rsidP="00A9529A">
      <w:r>
        <w:t xml:space="preserve">WTO har et generelt forbud mot eksportrestriksjoner. Men regelverket inneholder flere unntak som i stor grad uthuler forbudet. WTO/GATT -bestemmelsene inneholder ikke et eksplisitt forbud mot </w:t>
      </w:r>
      <w:r w:rsidRPr="00FE5451">
        <w:rPr>
          <w:i/>
        </w:rPr>
        <w:t>eksportavgifter,</w:t>
      </w:r>
      <w:r>
        <w:t xml:space="preserve"> men det er klart at de omfattes av bestemmelsen om eksportrestriksjoner.  </w:t>
      </w:r>
    </w:p>
    <w:p w:rsidR="00FE5451" w:rsidRDefault="00FE5451" w:rsidP="00A9529A"/>
    <w:p w:rsidR="000D0E1F" w:rsidRDefault="00A9529A" w:rsidP="00A9529A">
      <w:r>
        <w:t>GATTs hovedbestemmelse gis i artikkel XI, hvor det i første avsnitt heter</w:t>
      </w:r>
      <w:r w:rsidR="005E75B9">
        <w:rPr>
          <w:rStyle w:val="Fotnotereferanse"/>
        </w:rPr>
        <w:footnoteReference w:id="2"/>
      </w:r>
      <w:r w:rsidR="005E75B9">
        <w:t>:</w:t>
      </w:r>
    </w:p>
    <w:p w:rsidR="000D0E1F" w:rsidRDefault="000D0E1F" w:rsidP="00A9529A"/>
    <w:p w:rsidR="00A9529A" w:rsidRDefault="00A9529A" w:rsidP="000D0E1F">
      <w:pPr>
        <w:ind w:left="708"/>
      </w:pPr>
      <w:r w:rsidRPr="005E75B9">
        <w:rPr>
          <w:i/>
        </w:rPr>
        <w:t xml:space="preserve">Ingen kontraherende part skal innføre eller opprettholde </w:t>
      </w:r>
      <w:r w:rsidRPr="000D0E1F">
        <w:rPr>
          <w:i/>
          <w:sz w:val="28"/>
          <w:szCs w:val="28"/>
        </w:rPr>
        <w:t>andre</w:t>
      </w:r>
      <w:r w:rsidRPr="005E75B9">
        <w:rPr>
          <w:i/>
        </w:rPr>
        <w:t xml:space="preserve"> forbud eller restriksjoner for import av en vare fra en annen kontraherende parts territorium eller for eksport eller salg til eksport av en vare som er bestemt for en annen kontraherende parts territorium </w:t>
      </w:r>
      <w:r w:rsidRPr="000D0E1F">
        <w:rPr>
          <w:i/>
          <w:sz w:val="28"/>
          <w:szCs w:val="28"/>
        </w:rPr>
        <w:t>enn</w:t>
      </w:r>
      <w:r w:rsidRPr="005E75B9">
        <w:rPr>
          <w:i/>
        </w:rPr>
        <w:t xml:space="preserve"> toll, skatter eller andre avgifter, hva enten de gjennomføres ved kvoter, import eller eksportlisenser eller andre forholdsregler.</w:t>
      </w:r>
      <w:r>
        <w:t xml:space="preserve">  (Min </w:t>
      </w:r>
      <w:r w:rsidR="000D0E1F">
        <w:t>kursivering</w:t>
      </w:r>
      <w:r w:rsidR="00E0706E">
        <w:t xml:space="preserve"> og forstørret skrift for ordene «andre» og «enn»</w:t>
      </w:r>
      <w:r>
        <w:t>).</w:t>
      </w:r>
    </w:p>
    <w:p w:rsidR="00FE5451" w:rsidRDefault="00FE5451" w:rsidP="00A9529A"/>
    <w:p w:rsidR="00E0706E" w:rsidRDefault="00E0706E" w:rsidP="00A9529A"/>
    <w:p w:rsidR="00E0706E" w:rsidRDefault="00E0706E" w:rsidP="00A9529A"/>
    <w:p w:rsidR="00A9529A" w:rsidRDefault="00A9529A" w:rsidP="00A9529A">
      <w:r>
        <w:lastRenderedPageBreak/>
        <w:t>3. Flere unntak</w:t>
      </w:r>
    </w:p>
    <w:p w:rsidR="005E75B9" w:rsidRDefault="005E75B9" w:rsidP="00A9529A"/>
    <w:p w:rsidR="00A9529A" w:rsidRDefault="00A9529A" w:rsidP="00A9529A">
      <w:r>
        <w:t>Bestemmelsen inneholder, som en ser, hovedregelen med forbud mot</w:t>
      </w:r>
      <w:r w:rsidR="00E0706E">
        <w:t xml:space="preserve"> bruk av eksportbegrensninger. </w:t>
      </w:r>
      <w:r>
        <w:t xml:space="preserve">Allerede i denne setningen med hovedbestemmelsen er det tatt inn et viktig unntak: Det er ikke noe forbud mot anvendelse av toll, skatter eller andre avgifter som pålegges en vare som eksporteres. </w:t>
      </w:r>
    </w:p>
    <w:p w:rsidR="00A9529A" w:rsidRDefault="00A9529A" w:rsidP="00A9529A">
      <w:r>
        <w:tab/>
      </w:r>
    </w:p>
    <w:p w:rsidR="00A9529A" w:rsidRDefault="00A9529A" w:rsidP="00A9529A">
      <w:r>
        <w:t>4. Økning i tvistesaker i WTO</w:t>
      </w:r>
    </w:p>
    <w:p w:rsidR="00A9529A" w:rsidRDefault="00A9529A" w:rsidP="00A9529A"/>
    <w:p w:rsidR="00A9529A" w:rsidRDefault="00A9529A" w:rsidP="00A9529A">
      <w:r>
        <w:t>Målsettingen med eksportbegrensningene har normalt vært å tilgodese innenlandsk foredlingsindustri i markedene for råvarer.</w:t>
      </w:r>
    </w:p>
    <w:p w:rsidR="00A9529A" w:rsidRDefault="00A9529A" w:rsidP="00A9529A">
      <w:r>
        <w:t xml:space="preserve">Eksportbegrensninger har de siste 10-12 årene i større grad enn i tidligere perioder blitt gjenstand for klager og tvist i WTO. Særlig har </w:t>
      </w:r>
      <w:r w:rsidRPr="003C4A19">
        <w:rPr>
          <w:i/>
        </w:rPr>
        <w:t>eksportavgifter</w:t>
      </w:r>
      <w:r>
        <w:t xml:space="preserve"> blitt anvendt i flere </w:t>
      </w:r>
      <w:r w:rsidR="00E0706E">
        <w:t>tilfeller</w:t>
      </w:r>
      <w:r>
        <w:t xml:space="preserve"> enn før. Eksportbegrensende tiltak er særlig blitt gjort gjeldende mot råvarer, som metaller og landbruksvarer. Ulike u-land og Kina har i størst grad anvendt slike begrensninger. </w:t>
      </w:r>
    </w:p>
    <w:p w:rsidR="00A9529A" w:rsidRDefault="00A9529A" w:rsidP="00A9529A">
      <w:r>
        <w:t xml:space="preserve">I WTO har i hovedsak USA, EU og Japan reagert på økt bruk av eksportbegrensninger og </w:t>
      </w:r>
      <w:r w:rsidR="00E0706E">
        <w:t>har vært</w:t>
      </w:r>
      <w:r>
        <w:t xml:space="preserve"> part i flere klagesaker i WTO mot slike tiltak. </w:t>
      </w:r>
    </w:p>
    <w:p w:rsidR="00A9529A" w:rsidRDefault="00A9529A" w:rsidP="00A9529A">
      <w:r>
        <w:t xml:space="preserve">WTO (og GATT) med målsetting om å fremme internasjonal handel har tradisjonelt viet begrensninger av </w:t>
      </w:r>
      <w:r w:rsidRPr="00E0706E">
        <w:rPr>
          <w:i/>
        </w:rPr>
        <w:t xml:space="preserve">import </w:t>
      </w:r>
      <w:r>
        <w:t xml:space="preserve">(herunder toll og importkvoter) vesentlig større interesse enn tiltak på eksportleddet. Dette gjenspeiles i </w:t>
      </w:r>
      <w:proofErr w:type="spellStart"/>
      <w:r>
        <w:t>WTOs</w:t>
      </w:r>
      <w:proofErr w:type="spellEnd"/>
      <w:r>
        <w:t xml:space="preserve"> regelverk</w:t>
      </w:r>
      <w:r w:rsidR="00E0706E">
        <w:t>.</w:t>
      </w:r>
    </w:p>
    <w:p w:rsidR="00C17170" w:rsidRDefault="00C17170" w:rsidP="00A9529A"/>
    <w:p w:rsidR="00A9529A" w:rsidRDefault="00A9529A" w:rsidP="00A9529A">
      <w:r>
        <w:t xml:space="preserve">5. </w:t>
      </w:r>
      <w:r w:rsidR="007E5C68">
        <w:t>Gebyrer og formaliteter i forbindelse med import og ekspor</w:t>
      </w:r>
      <w:r w:rsidR="003C4A19">
        <w:t xml:space="preserve">t </w:t>
      </w:r>
    </w:p>
    <w:p w:rsidR="003925F9" w:rsidRDefault="003925F9" w:rsidP="00A9529A"/>
    <w:p w:rsidR="00A9529A" w:rsidRDefault="00A9529A" w:rsidP="00A9529A">
      <w:r>
        <w:t>Artikkel VIII gir en bestemmelse om at slike avgifter skal være begrenset til den omtrentlige kostnaden ved de tj</w:t>
      </w:r>
      <w:r w:rsidR="00C17170">
        <w:t xml:space="preserve">enestene som gis og skal ikke </w:t>
      </w:r>
      <w:r w:rsidR="004E2890">
        <w:t>innebære en indirekte beskyttelse av</w:t>
      </w:r>
      <w:r w:rsidR="003C4A19">
        <w:t xml:space="preserve"> </w:t>
      </w:r>
      <w:proofErr w:type="spellStart"/>
      <w:r w:rsidR="003C4A19">
        <w:t>innenlands</w:t>
      </w:r>
      <w:r w:rsidR="007E5C68">
        <w:t>produserte</w:t>
      </w:r>
      <w:proofErr w:type="spellEnd"/>
      <w:r w:rsidR="007E5C68">
        <w:t xml:space="preserve"> varer, el</w:t>
      </w:r>
      <w:r w:rsidR="004E2890">
        <w:t xml:space="preserve">ler </w:t>
      </w:r>
      <w:r w:rsidR="00E0706E">
        <w:t xml:space="preserve">være </w:t>
      </w:r>
      <w:r w:rsidR="004E2890">
        <w:t xml:space="preserve">en beskatning av import eller </w:t>
      </w:r>
      <w:r w:rsidR="007E5C68">
        <w:t xml:space="preserve">eksport, for fiskale formål.  Poenget med bestemmelsen er at en ikke skal kamuflere skatter, avgifter eller beskyttelsestiltak, ved å foregi at det er </w:t>
      </w:r>
      <w:r w:rsidR="003925F9">
        <w:t xml:space="preserve">gebyrer </w:t>
      </w:r>
      <w:r w:rsidR="00E0706E">
        <w:t>til dekning av administrative og</w:t>
      </w:r>
      <w:r w:rsidR="007E5C68">
        <w:t xml:space="preserve"> </w:t>
      </w:r>
      <w:proofErr w:type="spellStart"/>
      <w:r w:rsidR="007E5C68">
        <w:t>tollmessige</w:t>
      </w:r>
      <w:proofErr w:type="spellEnd"/>
      <w:r w:rsidR="007E5C68">
        <w:t xml:space="preserve"> kostnader.  </w:t>
      </w:r>
    </w:p>
    <w:p w:rsidR="004E2890" w:rsidRDefault="004E2890" w:rsidP="00A9529A"/>
    <w:p w:rsidR="00A9529A" w:rsidRDefault="003D4E71" w:rsidP="00A9529A">
      <w:r>
        <w:t xml:space="preserve">6. </w:t>
      </w:r>
      <w:r w:rsidR="003925F9">
        <w:t>I artikkel</w:t>
      </w:r>
      <w:r w:rsidR="00A9529A">
        <w:t xml:space="preserve"> </w:t>
      </w:r>
      <w:r w:rsidR="003925F9">
        <w:t xml:space="preserve">XI, </w:t>
      </w:r>
      <w:r w:rsidR="00A9529A">
        <w:t>avsnitt</w:t>
      </w:r>
      <w:r w:rsidR="003925F9">
        <w:t xml:space="preserve"> </w:t>
      </w:r>
      <w:r w:rsidR="00A9529A">
        <w:t>2 b) er det blant flere unntak fastsatt at forbud mot eksportrestriksjoner ikke skal omfatte import- og eksportforbud eller tiltak som er nødvendige for anvendelsen av regler eller forskrifter om klassifisering, kvalitetskontroll eller markedsføring av varer i den internasjonale handel. Dette unntaket tar sikte på tiltak angående den mer praktiske administrative gjennomføringen av handelen.</w:t>
      </w:r>
      <w:r w:rsidR="003925F9">
        <w:t xml:space="preserve">  I artikkel XI er det også unntak fra forbudene ved </w:t>
      </w:r>
      <w:r w:rsidR="003C4A19">
        <w:t xml:space="preserve">midlertidig </w:t>
      </w:r>
      <w:r>
        <w:t xml:space="preserve">kritiske </w:t>
      </w:r>
      <w:r w:rsidR="003C4A19">
        <w:t>varem</w:t>
      </w:r>
      <w:r>
        <w:t>ang</w:t>
      </w:r>
      <w:r w:rsidR="003C4A19">
        <w:t xml:space="preserve">el. </w:t>
      </w:r>
      <w:r>
        <w:t xml:space="preserve"> </w:t>
      </w:r>
    </w:p>
    <w:p w:rsidR="003925F9" w:rsidRDefault="003925F9" w:rsidP="00A9529A"/>
    <w:p w:rsidR="00A9529A" w:rsidRDefault="003D4E71" w:rsidP="00A9529A">
      <w:r>
        <w:t>7</w:t>
      </w:r>
      <w:r w:rsidR="00A9529A">
        <w:t>. Artikkel XX gir bestemmelser om alminnelige unntak fra Avtalen. Det presiseres i det innledende avsnittet at så lenge det ikke vil «innebære skjulte restriksjoner for den internasjonale handel», skal ikke noe i Avtalen forstås slik at det hindre</w:t>
      </w:r>
      <w:r w:rsidR="00E0706E">
        <w:t>r</w:t>
      </w:r>
      <w:r w:rsidR="00A9529A">
        <w:t xml:space="preserve"> en part i å treffe tiltak (</w:t>
      </w:r>
      <w:r w:rsidR="00C72333">
        <w:t xml:space="preserve">art XX, </w:t>
      </w:r>
      <w:proofErr w:type="spellStart"/>
      <w:r w:rsidR="00A9529A">
        <w:t>pkt</w:t>
      </w:r>
      <w:proofErr w:type="spellEnd"/>
      <w:r w:rsidR="00A9529A">
        <w:t xml:space="preserve"> g) som angår naturresurser som ikke er </w:t>
      </w:r>
      <w:proofErr w:type="spellStart"/>
      <w:r w:rsidR="00A9529A">
        <w:t>uutømmelige</w:t>
      </w:r>
      <w:proofErr w:type="spellEnd"/>
      <w:r w:rsidR="00A9529A">
        <w:t xml:space="preserve">. Men forutsetningen er at slike tiltak blir gjennomført sammen med restriksjoner på innenlandsk forbruk eller produksjon. </w:t>
      </w:r>
    </w:p>
    <w:p w:rsidR="00E0706E" w:rsidRDefault="00A9529A" w:rsidP="00A9529A">
      <w:r>
        <w:t xml:space="preserve">I sin avgjørelse av en klagesak reist i GATT av USA uttalte et oppnevnt </w:t>
      </w:r>
      <w:proofErr w:type="gramStart"/>
      <w:r>
        <w:t>tvisteløsningspanel  at</w:t>
      </w:r>
      <w:proofErr w:type="gramEnd"/>
      <w:r>
        <w:t xml:space="preserve"> ver</w:t>
      </w:r>
      <w:r w:rsidR="00221276">
        <w:t>ken unntaket i artikkel XI</w:t>
      </w:r>
      <w:r w:rsidR="00E0706E">
        <w:t xml:space="preserve">, avsnitt </w:t>
      </w:r>
      <w:r w:rsidR="00221276">
        <w:t>2</w:t>
      </w:r>
      <w:r w:rsidR="00E0706E">
        <w:t xml:space="preserve"> </w:t>
      </w:r>
      <w:r w:rsidR="00221276">
        <w:t xml:space="preserve">b), </w:t>
      </w:r>
      <w:r w:rsidR="00E0706E">
        <w:t xml:space="preserve">(se </w:t>
      </w:r>
      <w:proofErr w:type="spellStart"/>
      <w:r w:rsidR="00E0706E">
        <w:t>pkt</w:t>
      </w:r>
      <w:proofErr w:type="spellEnd"/>
      <w:r w:rsidR="00E0706E">
        <w:t xml:space="preserve"> 6 over)</w:t>
      </w:r>
      <w:r w:rsidR="00221276">
        <w:t xml:space="preserve">, </w:t>
      </w:r>
      <w:r w:rsidR="00E0706E">
        <w:t>eller i artikkel XX berettiger</w:t>
      </w:r>
      <w:r>
        <w:t xml:space="preserve"> eksportrestriksjoner som beskytter en innenlandsk industri og setter den i stand til å selge til utlandet. Canada hadde påberopt seg begge bestemmelsene angående sitt eksportforbud for ikke bearbeidet sild og laks. Canada </w:t>
      </w:r>
      <w:r w:rsidR="00E0706E">
        <w:t xml:space="preserve">tapte klagesaken </w:t>
      </w:r>
      <w:r>
        <w:t xml:space="preserve">og panelet viste angående artikkel XX til at tiltakene ikke var blitt gjennomført i samband med restriksjoner på innenlandsk produksjon eller forbruk. </w:t>
      </w:r>
    </w:p>
    <w:p w:rsidR="00A9529A" w:rsidRDefault="00C72333" w:rsidP="00A9529A">
      <w:r>
        <w:lastRenderedPageBreak/>
        <w:t xml:space="preserve">Avgjørelsen viser </w:t>
      </w:r>
      <w:r w:rsidR="002317E3">
        <w:t xml:space="preserve">betydningen av at </w:t>
      </w:r>
      <w:r>
        <w:t>en produksjonsavgift ikke blir slik</w:t>
      </w:r>
      <w:r w:rsidR="00E0706E">
        <w:t xml:space="preserve"> innrettet at et formål med den, </w:t>
      </w:r>
      <w:r>
        <w:t>eller sannsynlig virkning av den, vil være å tilgodese egen foredlingsindustri.</w:t>
      </w:r>
    </w:p>
    <w:p w:rsidR="003D4E71" w:rsidRDefault="003D4E71" w:rsidP="00A9529A"/>
    <w:p w:rsidR="00A9529A" w:rsidRDefault="003D4E71" w:rsidP="00A9529A">
      <w:r>
        <w:t>8</w:t>
      </w:r>
      <w:r w:rsidR="00A9529A">
        <w:t>. Tiltredelsesavtaler for nye medlemmer (Kina, Russland m fl)</w:t>
      </w:r>
    </w:p>
    <w:p w:rsidR="00A9529A" w:rsidRDefault="00A9529A" w:rsidP="00A9529A">
      <w:r>
        <w:t>De siste årene har land som Kina, Russland og Ukraina påtatt seg ulike forplikt</w:t>
      </w:r>
      <w:r w:rsidR="00E0706E">
        <w:t>elser i sine tiltredelsesavtale</w:t>
      </w:r>
      <w:r>
        <w:t xml:space="preserve">, som går lenger </w:t>
      </w:r>
      <w:r w:rsidR="00E0706E">
        <w:t xml:space="preserve">enn </w:t>
      </w:r>
      <w:r>
        <w:t xml:space="preserve">bestemmelsene i WTO/GATT. Lengst går de forpliktelsene som Kina påtok seg og som bl.a. gikk </w:t>
      </w:r>
      <w:r w:rsidR="008F1330">
        <w:t xml:space="preserve">ut på at Kina skulle </w:t>
      </w:r>
      <w:proofErr w:type="gramStart"/>
      <w:r w:rsidR="008F1330">
        <w:t xml:space="preserve">fjerne </w:t>
      </w:r>
      <w:r>
        <w:t xml:space="preserve"> eksportavgifter</w:t>
      </w:r>
      <w:proofErr w:type="gramEnd"/>
      <w:r>
        <w:t xml:space="preserve">. Men Kina anvendte senere likevel slike avgifter og </w:t>
      </w:r>
      <w:r w:rsidR="008F1330">
        <w:t>dette</w:t>
      </w:r>
      <w:r>
        <w:t xml:space="preserve"> førte til tvister i WTO. Kina tapte disse tvistene</w:t>
      </w:r>
      <w:r w:rsidR="00221276">
        <w:t xml:space="preserve">, som altså gjaldt brudd på </w:t>
      </w:r>
      <w:proofErr w:type="spellStart"/>
      <w:r w:rsidR="00221276">
        <w:t>tilleggsforpliktelse</w:t>
      </w:r>
      <w:r w:rsidR="00420FFA">
        <w:t>r</w:t>
      </w:r>
      <w:proofErr w:type="spellEnd"/>
      <w:r w:rsidR="00221276">
        <w:t xml:space="preserve"> som Kina påtok seg ved sin tiltredelse til WTO </w:t>
      </w:r>
      <w:r w:rsidR="00DF25F3">
        <w:t>i 2001.</w:t>
      </w:r>
    </w:p>
    <w:p w:rsidR="00A9529A" w:rsidRDefault="00A9529A" w:rsidP="00A9529A"/>
    <w:p w:rsidR="00A9529A" w:rsidRDefault="003D4E71" w:rsidP="00A9529A">
      <w:r>
        <w:t>9</w:t>
      </w:r>
      <w:r w:rsidR="00A9529A">
        <w:t>. Skatter og avgifter på eksportleddet</w:t>
      </w:r>
    </w:p>
    <w:p w:rsidR="00A9529A" w:rsidRDefault="00A9529A" w:rsidP="00A9529A">
      <w:r>
        <w:t>Ska</w:t>
      </w:r>
      <w:r w:rsidR="008F1330">
        <w:t>t</w:t>
      </w:r>
      <w:r>
        <w:t xml:space="preserve">ter og offentlige avgifter på </w:t>
      </w:r>
      <w:proofErr w:type="spellStart"/>
      <w:r>
        <w:t>eksportnivået</w:t>
      </w:r>
      <w:proofErr w:type="spellEnd"/>
      <w:r>
        <w:t xml:space="preserve"> faller etter ordlyden i artikkel XI </w:t>
      </w:r>
      <w:r w:rsidR="008F1330">
        <w:t xml:space="preserve">som nevnt </w:t>
      </w:r>
      <w:r>
        <w:t>utenfor WTO s forbud mot eksportrestriksjoner. WTO vil likevel kunne ha interesse av å innhente data om hvordan inntektene fra en slik særskatt på eksportleddet blir anvendt. Vurderingstemaet kan være om ordningen begrense</w:t>
      </w:r>
      <w:r w:rsidR="008F1330">
        <w:t>r</w:t>
      </w:r>
      <w:r>
        <w:t xml:space="preserve"> den internasjonale handelen</w:t>
      </w:r>
      <w:r w:rsidR="000D0E1F">
        <w:t>.</w:t>
      </w:r>
    </w:p>
    <w:p w:rsidR="00A9529A" w:rsidRDefault="00A9529A" w:rsidP="00A9529A">
      <w:r>
        <w:t xml:space="preserve">Dersom slike skatteinntekter skulle gå til statsstøtte til egen industri, vil støtten kunne bli omfattet av </w:t>
      </w:r>
      <w:proofErr w:type="spellStart"/>
      <w:r>
        <w:t>WTOs</w:t>
      </w:r>
      <w:proofErr w:type="spellEnd"/>
      <w:r>
        <w:t xml:space="preserve"> regelverk om subsidiering og utjevningstoll. Men WTO skal straks avslutte undersøkelse av en klage om subsidiering, når slik offentlig støtte ikke overstiger 1 % av va</w:t>
      </w:r>
      <w:r w:rsidR="00C72333">
        <w:t xml:space="preserve">rens verdi (de </w:t>
      </w:r>
      <w:proofErr w:type="spellStart"/>
      <w:r w:rsidR="00C72333">
        <w:t>minimis</w:t>
      </w:r>
      <w:proofErr w:type="spellEnd"/>
      <w:r w:rsidR="00C72333">
        <w:t>-regel). Skatter eller avgifter på eksportleddet kan altså bli ansett som stridende mot WTO, dersom 1 % eller mer av</w:t>
      </w:r>
      <w:r w:rsidR="001D7FA2">
        <w:t xml:space="preserve"> eksportverdien</w:t>
      </w:r>
      <w:r w:rsidR="00C72333">
        <w:t xml:space="preserve"> blir brukt til å støtte </w:t>
      </w:r>
      <w:r w:rsidR="00C30B36">
        <w:t>egen industri.</w:t>
      </w:r>
    </w:p>
    <w:p w:rsidR="00A9529A" w:rsidRDefault="00A9529A" w:rsidP="00A9529A"/>
    <w:p w:rsidR="00A9529A" w:rsidRDefault="00A9529A" w:rsidP="00A9529A"/>
    <w:p w:rsidR="00A9529A" w:rsidRDefault="00A9529A" w:rsidP="00A9529A">
      <w:r>
        <w:t xml:space="preserve">B. </w:t>
      </w:r>
      <w:r w:rsidR="008F1330">
        <w:t xml:space="preserve">Nærmere om WTO-regelverket og en produksjonsavgift på </w:t>
      </w:r>
      <w:r>
        <w:t xml:space="preserve">eksportleddet til fordel for oppdrettskommunene. </w:t>
      </w:r>
    </w:p>
    <w:p w:rsidR="00A9529A" w:rsidRDefault="00A9529A" w:rsidP="00A9529A"/>
    <w:p w:rsidR="00A9529A" w:rsidRDefault="00A9529A" w:rsidP="00A9529A">
      <w:r>
        <w:t>Nedenfor gis hovedpunkter for vurderin</w:t>
      </w:r>
      <w:r w:rsidR="00C30B36">
        <w:t>gen av forholdet til WTO.</w:t>
      </w:r>
      <w:r>
        <w:t xml:space="preserve"> </w:t>
      </w:r>
    </w:p>
    <w:p w:rsidR="00A9529A" w:rsidRDefault="00A9529A" w:rsidP="00A9529A"/>
    <w:p w:rsidR="00A9529A" w:rsidRDefault="00C13503" w:rsidP="00A9529A">
      <w:r>
        <w:t xml:space="preserve">10.1 </w:t>
      </w:r>
      <w:r w:rsidR="00A9529A">
        <w:t>Den påtenkte ordningen vil ha k</w:t>
      </w:r>
      <w:r w:rsidR="00DF25F3">
        <w:t>arakter av en statlig særavgift som</w:t>
      </w:r>
      <w:r w:rsidR="00A9529A">
        <w:t xml:space="preserve"> skal vedtas av Stortinget. Oppdrettskommunene og deres befolkning har åpenbare ulemper ved at tilstøtende sjøareal utenfor privat eiendomsrett, stenges for annen virksomhet enn oppdrett. Provenyet av </w:t>
      </w:r>
      <w:r w:rsidR="00DF25F3">
        <w:t xml:space="preserve">den påtenkte </w:t>
      </w:r>
      <w:r w:rsidR="00A9529A">
        <w:t>sær</w:t>
      </w:r>
      <w:r w:rsidR="001C3CA4">
        <w:t>avgiften skal gå</w:t>
      </w:r>
      <w:r w:rsidR="00A9529A">
        <w:t xml:space="preserve"> inn i statskassen, men fordeles deretter </w:t>
      </w:r>
      <w:r w:rsidR="001C3CA4">
        <w:t xml:space="preserve">fullt ut </w:t>
      </w:r>
      <w:r w:rsidR="00A9529A">
        <w:t xml:space="preserve">til oppdrettskommunene. </w:t>
      </w:r>
      <w:r w:rsidR="004336EB">
        <w:t>Ordningen vil ikke forvri eller begrense handelen.</w:t>
      </w:r>
      <w:r w:rsidR="00C30B36">
        <w:t xml:space="preserve"> Dersom inntektene fra ordningen hadde gått til økonomisk støtte til oppdrettsnæringen, kunne det hevdes at ordningen ikke er grei.</w:t>
      </w:r>
    </w:p>
    <w:p w:rsidR="00C13503" w:rsidRDefault="00C13503" w:rsidP="00A9529A"/>
    <w:p w:rsidR="00C30B36" w:rsidRDefault="00C13503" w:rsidP="00A9529A">
      <w:r>
        <w:t>10.2</w:t>
      </w:r>
      <w:r w:rsidR="001D7FA2">
        <w:t xml:space="preserve"> </w:t>
      </w:r>
      <w:r w:rsidR="00A9529A">
        <w:t>Skatteordningen vil</w:t>
      </w:r>
      <w:r w:rsidR="00C30B36">
        <w:t>le altså</w:t>
      </w:r>
      <w:r w:rsidR="00A9529A">
        <w:t xml:space="preserve"> ikke være noen sub</w:t>
      </w:r>
      <w:r w:rsidR="00C30B36">
        <w:t xml:space="preserve">sidiering av oppdrettsnæringen. </w:t>
      </w:r>
      <w:r w:rsidR="00A9529A">
        <w:t>Hvis avgiften blir på 0,25 kr/kg, vil de</w:t>
      </w:r>
      <w:r w:rsidR="008F1330">
        <w:t>n for øvrig ligge godt</w:t>
      </w:r>
      <w:r w:rsidR="00A9529A">
        <w:t xml:space="preserve"> under minstenivået</w:t>
      </w:r>
      <w:r w:rsidR="001C3CA4">
        <w:t xml:space="preserve"> </w:t>
      </w:r>
      <w:r w:rsidR="00A9529A">
        <w:t>på</w:t>
      </w:r>
    </w:p>
    <w:p w:rsidR="00A9529A" w:rsidRDefault="00A9529A" w:rsidP="00A9529A">
      <w:r>
        <w:t xml:space="preserve">1 % av verdien for at WTO </w:t>
      </w:r>
      <w:r w:rsidR="00C30B36">
        <w:t>kunne</w:t>
      </w:r>
      <w:r>
        <w:t xml:space="preserve"> fortsette undersøkelse</w:t>
      </w:r>
      <w:r w:rsidR="00C30B36">
        <w:t>n</w:t>
      </w:r>
      <w:r>
        <w:t xml:space="preserve"> av en ev</w:t>
      </w:r>
      <w:r w:rsidR="001C3CA4">
        <w:t>. klage om statsstøtte.</w:t>
      </w:r>
    </w:p>
    <w:p w:rsidR="00A9529A" w:rsidRDefault="00A9529A" w:rsidP="00A9529A"/>
    <w:p w:rsidR="00A9529A" w:rsidRDefault="00C13503" w:rsidP="00A9529A">
      <w:r>
        <w:t xml:space="preserve">10.3 </w:t>
      </w:r>
      <w:r w:rsidR="00A9529A">
        <w:t>En klagesak i WTO er avhengig av at et av medlemslandene fremmer slik sak. En berørt næringsinteresse i et medlemsland må altså få sine myndigheter til å fremme saken i WTO. En slik sak vil være ressurskrevende for berørte offentlige myndigheter: De må vurder</w:t>
      </w:r>
      <w:r w:rsidR="008F1330">
        <w:t>e</w:t>
      </w:r>
      <w:r w:rsidR="00A9529A">
        <w:t xml:space="preserve"> sannsynligheten for å kunne vinne</w:t>
      </w:r>
      <w:r w:rsidR="008F1330">
        <w:t xml:space="preserve"> frem</w:t>
      </w:r>
      <w:r w:rsidR="00A9529A">
        <w:t xml:space="preserve"> og den ant</w:t>
      </w:r>
      <w:r w:rsidR="00F72165">
        <w:t xml:space="preserve">atte økonomiske verdien av det. </w:t>
      </w:r>
      <w:r w:rsidR="00A9529A">
        <w:t xml:space="preserve">Dersom </w:t>
      </w:r>
      <w:proofErr w:type="gramStart"/>
      <w:r w:rsidR="00A9529A">
        <w:t>en  kunne</w:t>
      </w:r>
      <w:proofErr w:type="gramEnd"/>
      <w:r w:rsidR="00A9529A">
        <w:t xml:space="preserve"> tenke seg at et land ville </w:t>
      </w:r>
      <w:r w:rsidR="00F72165">
        <w:t xml:space="preserve">anse </w:t>
      </w:r>
      <w:r w:rsidR="00A9529A">
        <w:t xml:space="preserve">en </w:t>
      </w:r>
      <w:r w:rsidR="00F72165">
        <w:t xml:space="preserve">produksjonsavgift som problematisk, </w:t>
      </w:r>
      <w:r w:rsidR="00A9529A">
        <w:t>ville</w:t>
      </w:r>
      <w:r w:rsidR="00F72165">
        <w:t xml:space="preserve"> det</w:t>
      </w:r>
      <w:r w:rsidR="00A9529A">
        <w:t xml:space="preserve"> </w:t>
      </w:r>
      <w:r w:rsidR="00F72165">
        <w:t>trolig</w:t>
      </w:r>
      <w:r w:rsidR="00A9529A">
        <w:t xml:space="preserve"> </w:t>
      </w:r>
      <w:r w:rsidR="00F72165">
        <w:t xml:space="preserve">være et av EU-landene. </w:t>
      </w:r>
      <w:r w:rsidR="00A9529A">
        <w:t>EU-Kommisjonen (ansvarlig for</w:t>
      </w:r>
      <w:r w:rsidR="001C3CA4">
        <w:t xml:space="preserve"> </w:t>
      </w:r>
      <w:r w:rsidR="00A9529A">
        <w:t xml:space="preserve">EU- landenes utenrikshandelshandelspolitikk) </w:t>
      </w:r>
      <w:r w:rsidR="00F72165">
        <w:t>måtte i tilfelle overbevises o</w:t>
      </w:r>
      <w:r w:rsidR="00A9529A">
        <w:t>m betydningen av en klage i WTO og om sannsynligheten for å nå</w:t>
      </w:r>
      <w:r w:rsidR="00F72165">
        <w:t xml:space="preserve"> frem. Dette ville være en klar</w:t>
      </w:r>
      <w:r w:rsidR="00A9529A">
        <w:t xml:space="preserve"> motbakkesak.</w:t>
      </w:r>
    </w:p>
    <w:p w:rsidR="00A9529A" w:rsidRDefault="00A9529A" w:rsidP="00A9529A"/>
    <w:p w:rsidR="00A9529A" w:rsidRDefault="00C13503" w:rsidP="00A9529A">
      <w:r>
        <w:lastRenderedPageBreak/>
        <w:t xml:space="preserve">10.4 </w:t>
      </w:r>
      <w:r w:rsidR="00A9529A">
        <w:t xml:space="preserve">Det er en </w:t>
      </w:r>
      <w:r w:rsidR="001C3CA4">
        <w:t>klar</w:t>
      </w:r>
      <w:r w:rsidR="00A9529A">
        <w:t xml:space="preserve"> norsk interesse å ha fri adgang for fiskevarene til alle verdens markeder. Uavhengig av liten sannsynlighet for en klagesak, vil </w:t>
      </w:r>
      <w:r w:rsidR="00F72165">
        <w:t xml:space="preserve">det </w:t>
      </w:r>
      <w:r w:rsidR="00A9529A">
        <w:t xml:space="preserve">både </w:t>
      </w:r>
      <w:r w:rsidR="00F72165">
        <w:t xml:space="preserve">for </w:t>
      </w:r>
      <w:r w:rsidR="00A9529A">
        <w:t xml:space="preserve">norske myndigheter (og oppdrettsnæringen) </w:t>
      </w:r>
      <w:r w:rsidR="00F72165">
        <w:t>ha prinsipiell betydning</w:t>
      </w:r>
      <w:r w:rsidR="00A9529A">
        <w:t xml:space="preserve"> at en avgift ikke blir utformet på en slik måte at den </w:t>
      </w:r>
      <w:r w:rsidR="00F72165">
        <w:t xml:space="preserve">kan </w:t>
      </w:r>
      <w:r w:rsidR="00A9529A">
        <w:t xml:space="preserve">føre til spørsmål i Genève. </w:t>
      </w:r>
      <w:r w:rsidR="00F72165">
        <w:t xml:space="preserve">En produksjonsavgift må følgelig ikke utformes slik at formål eller virkning vil være å begunstig deler av norsk næring på bekostning av utenlandske aktører.  </w:t>
      </w:r>
    </w:p>
    <w:p w:rsidR="00A9529A" w:rsidRDefault="00A9529A" w:rsidP="00A9529A"/>
    <w:p w:rsidR="00B241C4" w:rsidRDefault="00B241C4" w:rsidP="003D4E71"/>
    <w:p w:rsidR="00B241C4" w:rsidRDefault="001C3CA4" w:rsidP="00A9529A">
      <w:r>
        <w:t>1</w:t>
      </w:r>
      <w:r w:rsidR="00F55C57">
        <w:t>1</w:t>
      </w:r>
      <w:r>
        <w:t xml:space="preserve">.  </w:t>
      </w:r>
      <w:r w:rsidR="004336EB">
        <w:t xml:space="preserve">Sammendrag </w:t>
      </w:r>
      <w:r w:rsidR="00C13503">
        <w:t>og konklusjon</w:t>
      </w:r>
    </w:p>
    <w:p w:rsidR="00743752" w:rsidRDefault="00743752" w:rsidP="00A9529A"/>
    <w:p w:rsidR="00F55C57" w:rsidRDefault="00B241C4" w:rsidP="00F55C57">
      <w:r>
        <w:t>WTO</w:t>
      </w:r>
      <w:r w:rsidR="007B6501">
        <w:t>/GATT</w:t>
      </w:r>
      <w:r>
        <w:t xml:space="preserve"> har</w:t>
      </w:r>
      <w:r w:rsidR="004336EB">
        <w:t xml:space="preserve"> </w:t>
      </w:r>
      <w:r w:rsidR="00C13503">
        <w:t xml:space="preserve">et generelt </w:t>
      </w:r>
      <w:r w:rsidR="004336EB">
        <w:t xml:space="preserve">forbud </w:t>
      </w:r>
      <w:r>
        <w:t xml:space="preserve">mot eksportbegrensninger. </w:t>
      </w:r>
    </w:p>
    <w:p w:rsidR="00F55C57" w:rsidRDefault="00F55C57" w:rsidP="00F55C57"/>
    <w:p w:rsidR="00F55C57" w:rsidRDefault="004336EB" w:rsidP="00A9529A">
      <w:r>
        <w:t>Regelverket inneho</w:t>
      </w:r>
      <w:r w:rsidR="00C13503">
        <w:t xml:space="preserve">lder </w:t>
      </w:r>
      <w:r w:rsidR="006A3B1B">
        <w:t>flere viktige</w:t>
      </w:r>
      <w:r w:rsidR="00C13503">
        <w:t xml:space="preserve"> unntak fra forbudet</w:t>
      </w:r>
      <w:r w:rsidR="00F55C57">
        <w:t xml:space="preserve"> mot eksportrestriksjoner</w:t>
      </w:r>
      <w:r w:rsidR="00C13503">
        <w:t>.</w:t>
      </w:r>
      <w:r w:rsidR="006A3B1B">
        <w:t xml:space="preserve"> </w:t>
      </w:r>
      <w:r>
        <w:t xml:space="preserve">Blant annet er skatter og avgifter unntatt fra forbudet. </w:t>
      </w:r>
      <w:r w:rsidR="00F55C57">
        <w:t>Men formål eller virkning av en avgift må ikke innebære en favorisering av hjemlig produksjon.</w:t>
      </w:r>
      <w:r w:rsidR="006A3B1B" w:rsidRPr="006A3B1B">
        <w:t xml:space="preserve"> </w:t>
      </w:r>
      <w:r w:rsidR="006A6167">
        <w:t>Det tilsier at avgiften ikke kan legges bare på deler av de relevante produktene som favoriserer foredling i hjemlandet. Sel</w:t>
      </w:r>
      <w:r w:rsidR="006A3B1B">
        <w:t>ve innkrevingsleddet (på eksporten)</w:t>
      </w:r>
      <w:r w:rsidR="006A6167">
        <w:t xml:space="preserve"> bør heller </w:t>
      </w:r>
      <w:r w:rsidR="006A3B1B">
        <w:t>ikke innebære en favorisering av innenlandsk foredling. Det må likevel kunne tas</w:t>
      </w:r>
      <w:r w:rsidR="004B17F0">
        <w:t xml:space="preserve"> visse</w:t>
      </w:r>
      <w:r w:rsidR="006A3B1B">
        <w:t xml:space="preserve"> praktiske hensyn slik at en </w:t>
      </w:r>
      <w:r w:rsidR="004B17F0">
        <w:t xml:space="preserve">produksjonsavgift på et lavt nivå ikke skal føre med seg betydelige </w:t>
      </w:r>
      <w:proofErr w:type="spellStart"/>
      <w:r w:rsidR="004B17F0">
        <w:t>kontrollmessige</w:t>
      </w:r>
      <w:proofErr w:type="spellEnd"/>
      <w:r w:rsidR="004B17F0">
        <w:t xml:space="preserve"> problemer og administrative kostnader. </w:t>
      </w:r>
    </w:p>
    <w:p w:rsidR="00F55C57" w:rsidRDefault="00F55C57" w:rsidP="00A9529A"/>
    <w:p w:rsidR="00F55C57" w:rsidRDefault="00743752" w:rsidP="00A9529A">
      <w:r>
        <w:t>Inntektene fra d</w:t>
      </w:r>
      <w:r w:rsidR="004336EB">
        <w:t>en påtenkte særavgiften</w:t>
      </w:r>
      <w:r>
        <w:t xml:space="preserve"> </w:t>
      </w:r>
      <w:r w:rsidR="004B17F0">
        <w:t>skal</w:t>
      </w:r>
      <w:r>
        <w:t xml:space="preserve"> ikke gå til subsidiering av oppdrettsnæringen</w:t>
      </w:r>
      <w:r w:rsidR="004B17F0">
        <w:t xml:space="preserve">, men til de berørte kommunenes budsjett. Inntektene vil følgelig ikke skape problemer i forhold til </w:t>
      </w:r>
      <w:proofErr w:type="spellStart"/>
      <w:r w:rsidR="004B17F0">
        <w:t>WTOs</w:t>
      </w:r>
      <w:proofErr w:type="spellEnd"/>
      <w:r w:rsidR="004B17F0">
        <w:t xml:space="preserve"> regler om statsstøtte. </w:t>
      </w:r>
      <w:r w:rsidR="00F55C57">
        <w:t xml:space="preserve"> </w:t>
      </w:r>
    </w:p>
    <w:p w:rsidR="00F55C57" w:rsidRDefault="00F55C57" w:rsidP="00A9529A"/>
    <w:p w:rsidR="003D4E71" w:rsidRDefault="004B17F0" w:rsidP="00A9529A">
      <w:r>
        <w:t>De</w:t>
      </w:r>
      <w:r w:rsidR="006A6167">
        <w:t>n</w:t>
      </w:r>
      <w:r>
        <w:t xml:space="preserve"> generelle konklusjonen er at en produksjonsavgift på et lavt nivå som </w:t>
      </w:r>
      <w:r w:rsidR="00C13503">
        <w:t>innkrev</w:t>
      </w:r>
      <w:r>
        <w:t>es</w:t>
      </w:r>
      <w:r w:rsidR="00C13503">
        <w:t xml:space="preserve"> på eksportleddet til fordel for oppdrettskommuner </w:t>
      </w:r>
      <w:r>
        <w:t xml:space="preserve">ikke </w:t>
      </w:r>
      <w:r w:rsidR="004336EB">
        <w:t>vil innebære</w:t>
      </w:r>
      <w:r w:rsidR="00743752">
        <w:t xml:space="preserve"> en</w:t>
      </w:r>
      <w:r w:rsidR="004336EB">
        <w:t xml:space="preserve"> begrensning av handelen eller vridning av konkurranseforholdene</w:t>
      </w:r>
      <w:r w:rsidR="00743752">
        <w:t xml:space="preserve"> </w:t>
      </w:r>
      <w:r>
        <w:t xml:space="preserve">som kunne </w:t>
      </w:r>
      <w:r w:rsidR="00743752">
        <w:t>være problematisk i WTO.</w:t>
      </w:r>
    </w:p>
    <w:p w:rsidR="00B241C4" w:rsidRDefault="00B241C4" w:rsidP="00A9529A"/>
    <w:p w:rsidR="00A9529A" w:rsidRDefault="00743752" w:rsidP="00A9529A">
      <w:r>
        <w:t xml:space="preserve">Oslo, </w:t>
      </w:r>
      <w:r w:rsidR="00A9529A">
        <w:t>3</w:t>
      </w:r>
      <w:r w:rsidR="004B17F0">
        <w:t>1</w:t>
      </w:r>
      <w:r>
        <w:t>.</w:t>
      </w:r>
      <w:r w:rsidR="00A9529A">
        <w:t>08.2017</w:t>
      </w:r>
    </w:p>
    <w:p w:rsidR="00A9529A" w:rsidRDefault="00A9529A" w:rsidP="00A9529A"/>
    <w:p w:rsidR="00743752" w:rsidRDefault="00743752" w:rsidP="00A9529A"/>
    <w:p w:rsidR="00A9529A" w:rsidRDefault="00A9529A" w:rsidP="00A9529A">
      <w:r>
        <w:t>Trond S. Paulsen</w:t>
      </w:r>
    </w:p>
    <w:p w:rsidR="00462BEB" w:rsidRDefault="00A9529A" w:rsidP="0024649F">
      <w:r>
        <w:t xml:space="preserve">Advokat </w:t>
      </w:r>
      <w:proofErr w:type="gramStart"/>
      <w:r>
        <w:t>( H</w:t>
      </w:r>
      <w:proofErr w:type="gramEnd"/>
      <w:r>
        <w:t xml:space="preserve"> )  </w:t>
      </w:r>
    </w:p>
    <w:p w:rsidR="00462BEB" w:rsidRDefault="00462BEB" w:rsidP="0024649F"/>
    <w:p w:rsidR="00462BEB" w:rsidRDefault="00462BEB" w:rsidP="0024649F"/>
    <w:sectPr w:rsidR="00462BEB" w:rsidSect="00227B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8B" w:rsidRDefault="00D86C8B">
      <w:r>
        <w:separator/>
      </w:r>
    </w:p>
  </w:endnote>
  <w:endnote w:type="continuationSeparator" w:id="0">
    <w:p w:rsidR="00D86C8B" w:rsidRDefault="00D8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5B" w:rsidRDefault="006D255B" w:rsidP="00FA679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6D255B" w:rsidRDefault="006D255B" w:rsidP="00FA679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5B" w:rsidRDefault="006D255B" w:rsidP="00FA679D">
    <w:pPr>
      <w:pStyle w:val="Bunntekst"/>
      <w:framePr w:wrap="around" w:vAnchor="text" w:hAnchor="margin" w:xAlign="right" w:y="1"/>
      <w:rPr>
        <w:rStyle w:val="Sidetall"/>
      </w:rPr>
    </w:pPr>
  </w:p>
  <w:p w:rsidR="006D255B" w:rsidRDefault="006D255B" w:rsidP="002A3923">
    <w:pPr>
      <w:pStyle w:val="Bunntekst"/>
      <w:ind w:right="360"/>
      <w:rPr>
        <w:sz w:val="18"/>
        <w:szCs w:val="18"/>
      </w:rPr>
    </w:pPr>
    <w:r w:rsidRPr="009A6BC8">
      <w:rPr>
        <w:sz w:val="18"/>
        <w:szCs w:val="18"/>
      </w:rPr>
      <w:t>Fr Nansens</w:t>
    </w:r>
    <w:r>
      <w:rPr>
        <w:sz w:val="18"/>
        <w:szCs w:val="18"/>
      </w:rPr>
      <w:t xml:space="preserve"> </w:t>
    </w:r>
    <w:proofErr w:type="gramStart"/>
    <w:r>
      <w:rPr>
        <w:sz w:val="18"/>
        <w:szCs w:val="18"/>
      </w:rPr>
      <w:t xml:space="preserve">pl </w:t>
    </w:r>
    <w:r w:rsidRPr="009A6BC8">
      <w:rPr>
        <w:sz w:val="18"/>
        <w:szCs w:val="18"/>
      </w:rPr>
      <w:t xml:space="preserve"> 9</w:t>
    </w:r>
    <w:proofErr w:type="gramEnd"/>
    <w:r>
      <w:rPr>
        <w:sz w:val="18"/>
        <w:szCs w:val="18"/>
      </w:rPr>
      <w:t xml:space="preserve">, </w:t>
    </w:r>
    <w:r w:rsidRPr="009A6BC8">
      <w:rPr>
        <w:sz w:val="18"/>
        <w:szCs w:val="18"/>
      </w:rPr>
      <w:t xml:space="preserve"> 0160 Oslo, tlf 22 41 84 48</w:t>
    </w:r>
    <w:r>
      <w:rPr>
        <w:sz w:val="18"/>
        <w:szCs w:val="18"/>
      </w:rPr>
      <w:t xml:space="preserve"> / </w:t>
    </w:r>
    <w:r w:rsidRPr="009A6BC8">
      <w:rPr>
        <w:sz w:val="18"/>
        <w:szCs w:val="18"/>
      </w:rPr>
      <w:t>9</w:t>
    </w:r>
    <w:r>
      <w:rPr>
        <w:sz w:val="18"/>
        <w:szCs w:val="18"/>
      </w:rPr>
      <w:t>09 27 627</w:t>
    </w:r>
    <w:r w:rsidRPr="009A6BC8">
      <w:rPr>
        <w:sz w:val="18"/>
        <w:szCs w:val="18"/>
      </w:rPr>
      <w:t xml:space="preserve"> </w:t>
    </w:r>
    <w:r w:rsidR="002A3923">
      <w:rPr>
        <w:sz w:val="18"/>
        <w:szCs w:val="18"/>
      </w:rPr>
      <w:t xml:space="preserve"> </w:t>
    </w:r>
    <w:hyperlink r:id="rId1" w:history="1">
      <w:r w:rsidRPr="00BD3272">
        <w:rPr>
          <w:rStyle w:val="Hyperkobling"/>
          <w:color w:val="000000"/>
          <w:sz w:val="18"/>
          <w:szCs w:val="18"/>
          <w:u w:val="none"/>
        </w:rPr>
        <w:t>trpaul@online.no</w:t>
      </w:r>
    </w:hyperlink>
    <w:r w:rsidR="002A3923">
      <w:rPr>
        <w:color w:val="000000"/>
        <w:sz w:val="18"/>
        <w:szCs w:val="18"/>
      </w:rPr>
      <w:t xml:space="preserve">   </w:t>
    </w:r>
    <w:r>
      <w:rPr>
        <w:color w:val="000000"/>
        <w:sz w:val="18"/>
        <w:szCs w:val="18"/>
      </w:rPr>
      <w:t>Org. nr. 981 809 157 mva</w:t>
    </w:r>
  </w:p>
  <w:p w:rsidR="006D255B" w:rsidRPr="009A6BC8" w:rsidRDefault="006D255B" w:rsidP="00FA679D">
    <w:pPr>
      <w:pStyle w:val="Bunntekst"/>
      <w:ind w:right="360"/>
      <w:jc w:val="center"/>
      <w:rPr>
        <w:sz w:val="18"/>
        <w:szCs w:val="18"/>
      </w:rPr>
    </w:pPr>
  </w:p>
  <w:p w:rsidR="006D255B" w:rsidRDefault="006D25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5B" w:rsidRPr="00B95212" w:rsidRDefault="006D255B" w:rsidP="00B95212">
    <w:pPr>
      <w:pStyle w:val="Bunntekst"/>
      <w:ind w:right="360"/>
      <w:jc w:val="center"/>
      <w:rPr>
        <w:b/>
        <w:sz w:val="18"/>
        <w:szCs w:val="18"/>
      </w:rPr>
    </w:pPr>
    <w:r w:rsidRPr="00B95212">
      <w:rPr>
        <w:b/>
        <w:sz w:val="18"/>
        <w:szCs w:val="18"/>
      </w:rPr>
      <w:t xml:space="preserve">Fr Nansens </w:t>
    </w:r>
    <w:proofErr w:type="gramStart"/>
    <w:r w:rsidRPr="00B95212">
      <w:rPr>
        <w:b/>
        <w:sz w:val="18"/>
        <w:szCs w:val="18"/>
      </w:rPr>
      <w:t>pl  9</w:t>
    </w:r>
    <w:proofErr w:type="gramEnd"/>
    <w:r w:rsidRPr="00B95212">
      <w:rPr>
        <w:b/>
        <w:sz w:val="18"/>
        <w:szCs w:val="18"/>
      </w:rPr>
      <w:t xml:space="preserve">,  0160 Oslo, tlf </w:t>
    </w:r>
    <w:r>
      <w:rPr>
        <w:b/>
        <w:sz w:val="18"/>
        <w:szCs w:val="18"/>
      </w:rPr>
      <w:t xml:space="preserve">(47) </w:t>
    </w:r>
    <w:r w:rsidRPr="00B95212">
      <w:rPr>
        <w:b/>
        <w:sz w:val="18"/>
        <w:szCs w:val="18"/>
      </w:rPr>
      <w:t xml:space="preserve">22 41 84 48 / </w:t>
    </w:r>
    <w:r>
      <w:rPr>
        <w:b/>
        <w:sz w:val="18"/>
        <w:szCs w:val="18"/>
      </w:rPr>
      <w:t xml:space="preserve">(47) </w:t>
    </w:r>
    <w:r w:rsidRPr="00B95212">
      <w:rPr>
        <w:b/>
        <w:sz w:val="18"/>
        <w:szCs w:val="18"/>
      </w:rPr>
      <w:t xml:space="preserve">909 27 627 </w:t>
    </w:r>
    <w:r>
      <w:rPr>
        <w:b/>
        <w:sz w:val="18"/>
        <w:szCs w:val="18"/>
      </w:rPr>
      <w:t xml:space="preserve"> </w:t>
    </w:r>
    <w:hyperlink r:id="rId1" w:history="1">
      <w:r w:rsidRPr="00B95212">
        <w:rPr>
          <w:rStyle w:val="Hyperkobling"/>
          <w:b/>
          <w:color w:val="000000"/>
          <w:sz w:val="18"/>
          <w:szCs w:val="18"/>
          <w:u w:val="none"/>
        </w:rPr>
        <w:t>trpaul@online.no</w:t>
      </w:r>
    </w:hyperlink>
    <w:r w:rsidRPr="00B95212">
      <w:rPr>
        <w:b/>
        <w:color w:val="000000"/>
        <w:sz w:val="18"/>
        <w:szCs w:val="18"/>
      </w:rPr>
      <w:t xml:space="preserve">  Org. nr. 981 809 157 mva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8B" w:rsidRDefault="00D86C8B">
      <w:r>
        <w:separator/>
      </w:r>
    </w:p>
  </w:footnote>
  <w:footnote w:type="continuationSeparator" w:id="0">
    <w:p w:rsidR="00D86C8B" w:rsidRDefault="00D86C8B">
      <w:r>
        <w:continuationSeparator/>
      </w:r>
    </w:p>
  </w:footnote>
  <w:footnote w:id="1">
    <w:p w:rsidR="00221276" w:rsidRDefault="00221276">
      <w:pPr>
        <w:pStyle w:val="Fotnotetekst"/>
      </w:pPr>
      <w:r>
        <w:rPr>
          <w:rStyle w:val="Fotnotereferanse"/>
        </w:rPr>
        <w:footnoteRef/>
      </w:r>
      <w:r>
        <w:t xml:space="preserve"> </w:t>
      </w:r>
      <w:r w:rsidRPr="00221276">
        <w:t>WTO (Verdens Handelsorganisasjon</w:t>
      </w:r>
      <w:r>
        <w:t>, etablert 01.01.1995</w:t>
      </w:r>
      <w:r w:rsidRPr="00221276">
        <w:t>). Avtalen om WTO innebar opprettelse av en omfattende, flernasjonal institusjon for både varehandel, tjenestehandel og immaterielle rettigheter og et styrket regelverk knyttet sammen av felles overordnede organer og et felles tvisteløsningsorgan. GATT-teksten fra 1947 med senere endringer ble ikke endret i substans i GATT-tekstene fra 1994 som er inntatt som en del av WTO-avtalen.</w:t>
      </w:r>
    </w:p>
  </w:footnote>
  <w:footnote w:id="2">
    <w:p w:rsidR="005E75B9" w:rsidRDefault="005E75B9">
      <w:pPr>
        <w:pStyle w:val="Fotnotetekst"/>
      </w:pPr>
      <w:r>
        <w:rPr>
          <w:rStyle w:val="Fotnotereferanse"/>
        </w:rPr>
        <w:footnoteRef/>
      </w:r>
      <w:r>
        <w:t xml:space="preserve"> </w:t>
      </w:r>
      <w:r w:rsidRPr="005E75B9">
        <w:t>UDs over</w:t>
      </w:r>
      <w:r>
        <w:t>settelse fra engelsk til norsk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5B" w:rsidRDefault="006D255B" w:rsidP="00181DE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6D255B" w:rsidRDefault="006D255B" w:rsidP="00227B15">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5B" w:rsidRDefault="006D255B" w:rsidP="00181DE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65EE9">
      <w:rPr>
        <w:rStyle w:val="Sidetall"/>
        <w:noProof/>
      </w:rPr>
      <w:t>2</w:t>
    </w:r>
    <w:r>
      <w:rPr>
        <w:rStyle w:val="Sidetall"/>
      </w:rPr>
      <w:fldChar w:fldCharType="end"/>
    </w:r>
  </w:p>
  <w:p w:rsidR="006D255B" w:rsidRDefault="006D255B" w:rsidP="00227B15">
    <w:pPr>
      <w:ind w:right="360"/>
    </w:pPr>
  </w:p>
  <w:p w:rsidR="006D255B" w:rsidRDefault="006D255B" w:rsidP="00FA679D">
    <w:pPr>
      <w:pStyle w:val="Topptekst"/>
      <w:jc w:val="center"/>
      <w:rPr>
        <w:b/>
      </w:rPr>
    </w:pPr>
    <w:r w:rsidRPr="00D0233C">
      <w:rPr>
        <w:b/>
      </w:rPr>
      <w:t>ADVOKATFIRMAET TROND S. PAULSEN</w:t>
    </w:r>
  </w:p>
  <w:p w:rsidR="006D255B" w:rsidRDefault="006D255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5B" w:rsidRDefault="006D255B" w:rsidP="00B95212">
    <w:pPr>
      <w:pStyle w:val="Topptekst"/>
      <w:jc w:val="center"/>
      <w:rPr>
        <w:b/>
      </w:rPr>
    </w:pPr>
    <w:r w:rsidRPr="00D0233C">
      <w:rPr>
        <w:b/>
      </w:rPr>
      <w:t>ADVOKATFIRMAET TROND S. PAULSEN</w:t>
    </w:r>
  </w:p>
  <w:p w:rsidR="006D255B" w:rsidRDefault="006D255B" w:rsidP="00694370">
    <w:pPr>
      <w:pStyle w:val="Topptekst"/>
      <w:jc w:val="center"/>
      <w:rPr>
        <w:b/>
      </w:rPr>
    </w:pPr>
    <w:r w:rsidRPr="00694370">
      <w:rPr>
        <w:b/>
      </w:rPr>
      <w:t>MNA</w:t>
    </w:r>
  </w:p>
  <w:p w:rsidR="002F3BE0" w:rsidRDefault="002F3BE0" w:rsidP="00694370">
    <w:pPr>
      <w:pStyle w:val="Topptekst"/>
      <w:jc w:val="center"/>
      <w:rPr>
        <w:b/>
      </w:rPr>
    </w:pPr>
  </w:p>
  <w:p w:rsidR="002F3BE0" w:rsidRPr="002F3BE0" w:rsidRDefault="002F3BE0" w:rsidP="00694370">
    <w:pPr>
      <w:pStyle w:val="Topptekst"/>
      <w:jc w:val="center"/>
      <w:rPr>
        <w:b/>
        <w:sz w:val="22"/>
        <w:szCs w:val="22"/>
      </w:rPr>
    </w:pPr>
    <w:r>
      <w:rPr>
        <w:b/>
        <w:sz w:val="22"/>
        <w:szCs w:val="22"/>
      </w:rPr>
      <w:t>I kontorfellesskap med Advokatfirma MNA Kogstad Lunde &amp; 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2F2"/>
    <w:multiLevelType w:val="hybridMultilevel"/>
    <w:tmpl w:val="DA0469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C2053D"/>
    <w:multiLevelType w:val="hybridMultilevel"/>
    <w:tmpl w:val="011014A6"/>
    <w:lvl w:ilvl="0" w:tplc="23E6BC0E">
      <w:start w:val="1"/>
      <w:numFmt w:val="decimal"/>
      <w:lvlText w:val="%1."/>
      <w:lvlJc w:val="left"/>
      <w:pPr>
        <w:tabs>
          <w:tab w:val="num" w:pos="360"/>
        </w:tabs>
        <w:ind w:left="360" w:hanging="360"/>
      </w:pPr>
      <w:rPr>
        <w:rFonts w:hint="default"/>
        <w:b/>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15:restartNumberingAfterBreak="0">
    <w:nsid w:val="13555DBB"/>
    <w:multiLevelType w:val="hybridMultilevel"/>
    <w:tmpl w:val="94E0E9E8"/>
    <w:lvl w:ilvl="0" w:tplc="201C47DE">
      <w:start w:val="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BC5BAC"/>
    <w:multiLevelType w:val="hybridMultilevel"/>
    <w:tmpl w:val="0EC29346"/>
    <w:lvl w:ilvl="0" w:tplc="64268E7E">
      <w:start w:val="2"/>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3966B2"/>
    <w:multiLevelType w:val="hybridMultilevel"/>
    <w:tmpl w:val="13503530"/>
    <w:lvl w:ilvl="0" w:tplc="1F8E12AE">
      <w:start w:val="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EA5949"/>
    <w:multiLevelType w:val="hybridMultilevel"/>
    <w:tmpl w:val="67466432"/>
    <w:lvl w:ilvl="0" w:tplc="A08EFF08">
      <w:start w:val="1"/>
      <w:numFmt w:val="decimal"/>
      <w:lvlText w:val="%1."/>
      <w:lvlJc w:val="left"/>
      <w:pPr>
        <w:ind w:left="961" w:hanging="360"/>
      </w:pPr>
      <w:rPr>
        <w:rFonts w:hint="default"/>
      </w:rPr>
    </w:lvl>
    <w:lvl w:ilvl="1" w:tplc="04140019" w:tentative="1">
      <w:start w:val="1"/>
      <w:numFmt w:val="lowerLetter"/>
      <w:lvlText w:val="%2."/>
      <w:lvlJc w:val="left"/>
      <w:pPr>
        <w:ind w:left="1681" w:hanging="360"/>
      </w:pPr>
    </w:lvl>
    <w:lvl w:ilvl="2" w:tplc="0414001B" w:tentative="1">
      <w:start w:val="1"/>
      <w:numFmt w:val="lowerRoman"/>
      <w:lvlText w:val="%3."/>
      <w:lvlJc w:val="right"/>
      <w:pPr>
        <w:ind w:left="2401" w:hanging="180"/>
      </w:pPr>
    </w:lvl>
    <w:lvl w:ilvl="3" w:tplc="0414000F" w:tentative="1">
      <w:start w:val="1"/>
      <w:numFmt w:val="decimal"/>
      <w:lvlText w:val="%4."/>
      <w:lvlJc w:val="left"/>
      <w:pPr>
        <w:ind w:left="3121" w:hanging="360"/>
      </w:pPr>
    </w:lvl>
    <w:lvl w:ilvl="4" w:tplc="04140019" w:tentative="1">
      <w:start w:val="1"/>
      <w:numFmt w:val="lowerLetter"/>
      <w:lvlText w:val="%5."/>
      <w:lvlJc w:val="left"/>
      <w:pPr>
        <w:ind w:left="3841" w:hanging="360"/>
      </w:pPr>
    </w:lvl>
    <w:lvl w:ilvl="5" w:tplc="0414001B" w:tentative="1">
      <w:start w:val="1"/>
      <w:numFmt w:val="lowerRoman"/>
      <w:lvlText w:val="%6."/>
      <w:lvlJc w:val="right"/>
      <w:pPr>
        <w:ind w:left="4561" w:hanging="180"/>
      </w:pPr>
    </w:lvl>
    <w:lvl w:ilvl="6" w:tplc="0414000F" w:tentative="1">
      <w:start w:val="1"/>
      <w:numFmt w:val="decimal"/>
      <w:lvlText w:val="%7."/>
      <w:lvlJc w:val="left"/>
      <w:pPr>
        <w:ind w:left="5281" w:hanging="360"/>
      </w:pPr>
    </w:lvl>
    <w:lvl w:ilvl="7" w:tplc="04140019" w:tentative="1">
      <w:start w:val="1"/>
      <w:numFmt w:val="lowerLetter"/>
      <w:lvlText w:val="%8."/>
      <w:lvlJc w:val="left"/>
      <w:pPr>
        <w:ind w:left="6001" w:hanging="360"/>
      </w:pPr>
    </w:lvl>
    <w:lvl w:ilvl="8" w:tplc="0414001B" w:tentative="1">
      <w:start w:val="1"/>
      <w:numFmt w:val="lowerRoman"/>
      <w:lvlText w:val="%9."/>
      <w:lvlJc w:val="right"/>
      <w:pPr>
        <w:ind w:left="6721" w:hanging="180"/>
      </w:pPr>
    </w:lvl>
  </w:abstractNum>
  <w:abstractNum w:abstractNumId="6" w15:restartNumberingAfterBreak="0">
    <w:nsid w:val="34282CBF"/>
    <w:multiLevelType w:val="hybridMultilevel"/>
    <w:tmpl w:val="D76A9A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4DB7FE5"/>
    <w:multiLevelType w:val="hybridMultilevel"/>
    <w:tmpl w:val="453805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5C200CE"/>
    <w:multiLevelType w:val="hybridMultilevel"/>
    <w:tmpl w:val="1AB01C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B115F2"/>
    <w:multiLevelType w:val="hybridMultilevel"/>
    <w:tmpl w:val="DF0451EA"/>
    <w:lvl w:ilvl="0" w:tplc="71DEB8C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D7003A2"/>
    <w:multiLevelType w:val="hybridMultilevel"/>
    <w:tmpl w:val="0596A2C4"/>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11" w15:restartNumberingAfterBreak="0">
    <w:nsid w:val="4F8727E6"/>
    <w:multiLevelType w:val="hybridMultilevel"/>
    <w:tmpl w:val="AA8418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FBE6007"/>
    <w:multiLevelType w:val="hybridMultilevel"/>
    <w:tmpl w:val="A66856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50E36CD"/>
    <w:multiLevelType w:val="hybridMultilevel"/>
    <w:tmpl w:val="479CA2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63152"/>
    <w:multiLevelType w:val="hybridMultilevel"/>
    <w:tmpl w:val="7F881C6A"/>
    <w:lvl w:ilvl="0" w:tplc="ADCE2284">
      <w:start w:val="1"/>
      <w:numFmt w:val="upp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5" w15:restartNumberingAfterBreak="0">
    <w:nsid w:val="59F71584"/>
    <w:multiLevelType w:val="hybridMultilevel"/>
    <w:tmpl w:val="C2A6F710"/>
    <w:lvl w:ilvl="0" w:tplc="8C7030F6">
      <w:start w:val="1"/>
      <w:numFmt w:val="bullet"/>
      <w:lvlText w:val="-"/>
      <w:lvlJc w:val="left"/>
      <w:pPr>
        <w:ind w:left="927" w:hanging="360"/>
      </w:pPr>
      <w:rPr>
        <w:rFonts w:ascii="Times New Roman" w:eastAsiaTheme="minorHAnsi" w:hAnsi="Times New Roman" w:cs="Times New Roman"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6" w15:restartNumberingAfterBreak="0">
    <w:nsid w:val="5A663F9D"/>
    <w:multiLevelType w:val="hybridMultilevel"/>
    <w:tmpl w:val="568A45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B96434B"/>
    <w:multiLevelType w:val="hybridMultilevel"/>
    <w:tmpl w:val="674AE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CC82FB7"/>
    <w:multiLevelType w:val="hybridMultilevel"/>
    <w:tmpl w:val="9F16AD36"/>
    <w:lvl w:ilvl="0" w:tplc="0414000F">
      <w:start w:val="1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FA9340D"/>
    <w:multiLevelType w:val="hybridMultilevel"/>
    <w:tmpl w:val="54AEF21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0E90517"/>
    <w:multiLevelType w:val="hybridMultilevel"/>
    <w:tmpl w:val="011014A6"/>
    <w:lvl w:ilvl="0" w:tplc="23E6BC0E">
      <w:start w:val="1"/>
      <w:numFmt w:val="decimal"/>
      <w:lvlText w:val="%1."/>
      <w:lvlJc w:val="left"/>
      <w:pPr>
        <w:tabs>
          <w:tab w:val="num" w:pos="360"/>
        </w:tabs>
        <w:ind w:left="360" w:hanging="360"/>
      </w:pPr>
      <w:rPr>
        <w:rFonts w:hint="default"/>
        <w:b/>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15:restartNumberingAfterBreak="0">
    <w:nsid w:val="67137FBA"/>
    <w:multiLevelType w:val="hybridMultilevel"/>
    <w:tmpl w:val="A60490BE"/>
    <w:lvl w:ilvl="0" w:tplc="3B102CA2">
      <w:start w:val="6"/>
      <w:numFmt w:val="decimal"/>
      <w:lvlText w:val="%1."/>
      <w:lvlJc w:val="left"/>
      <w:pPr>
        <w:tabs>
          <w:tab w:val="num" w:pos="720"/>
        </w:tabs>
        <w:ind w:left="720" w:hanging="360"/>
      </w:pPr>
      <w:rPr>
        <w:rFonts w:hint="default"/>
        <w:i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715213CD"/>
    <w:multiLevelType w:val="hybridMultilevel"/>
    <w:tmpl w:val="46860C4A"/>
    <w:lvl w:ilvl="0" w:tplc="B4B8AF62">
      <w:start w:val="1"/>
      <w:numFmt w:val="decimal"/>
      <w:lvlText w:val="%1."/>
      <w:lvlJc w:val="left"/>
      <w:pPr>
        <w:tabs>
          <w:tab w:val="num" w:pos="900"/>
        </w:tabs>
        <w:ind w:left="900" w:hanging="360"/>
      </w:pPr>
      <w:rPr>
        <w:rFonts w:hint="default"/>
      </w:rPr>
    </w:lvl>
    <w:lvl w:ilvl="1" w:tplc="04140019">
      <w:start w:val="1"/>
      <w:numFmt w:val="lowerLetter"/>
      <w:lvlText w:val="%2."/>
      <w:lvlJc w:val="left"/>
      <w:pPr>
        <w:tabs>
          <w:tab w:val="num" w:pos="2574"/>
        </w:tabs>
        <w:ind w:left="2574" w:hanging="360"/>
      </w:pPr>
    </w:lvl>
    <w:lvl w:ilvl="2" w:tplc="0414001B" w:tentative="1">
      <w:start w:val="1"/>
      <w:numFmt w:val="lowerRoman"/>
      <w:lvlText w:val="%3."/>
      <w:lvlJc w:val="right"/>
      <w:pPr>
        <w:tabs>
          <w:tab w:val="num" w:pos="3294"/>
        </w:tabs>
        <w:ind w:left="3294" w:hanging="180"/>
      </w:pPr>
    </w:lvl>
    <w:lvl w:ilvl="3" w:tplc="0414000F" w:tentative="1">
      <w:start w:val="1"/>
      <w:numFmt w:val="decimal"/>
      <w:lvlText w:val="%4."/>
      <w:lvlJc w:val="left"/>
      <w:pPr>
        <w:tabs>
          <w:tab w:val="num" w:pos="4014"/>
        </w:tabs>
        <w:ind w:left="4014" w:hanging="360"/>
      </w:pPr>
    </w:lvl>
    <w:lvl w:ilvl="4" w:tplc="04140019" w:tentative="1">
      <w:start w:val="1"/>
      <w:numFmt w:val="lowerLetter"/>
      <w:lvlText w:val="%5."/>
      <w:lvlJc w:val="left"/>
      <w:pPr>
        <w:tabs>
          <w:tab w:val="num" w:pos="4734"/>
        </w:tabs>
        <w:ind w:left="4734" w:hanging="360"/>
      </w:pPr>
    </w:lvl>
    <w:lvl w:ilvl="5" w:tplc="0414001B" w:tentative="1">
      <w:start w:val="1"/>
      <w:numFmt w:val="lowerRoman"/>
      <w:lvlText w:val="%6."/>
      <w:lvlJc w:val="right"/>
      <w:pPr>
        <w:tabs>
          <w:tab w:val="num" w:pos="5454"/>
        </w:tabs>
        <w:ind w:left="5454" w:hanging="180"/>
      </w:pPr>
    </w:lvl>
    <w:lvl w:ilvl="6" w:tplc="0414000F" w:tentative="1">
      <w:start w:val="1"/>
      <w:numFmt w:val="decimal"/>
      <w:lvlText w:val="%7."/>
      <w:lvlJc w:val="left"/>
      <w:pPr>
        <w:tabs>
          <w:tab w:val="num" w:pos="6174"/>
        </w:tabs>
        <w:ind w:left="6174" w:hanging="360"/>
      </w:pPr>
    </w:lvl>
    <w:lvl w:ilvl="7" w:tplc="04140019" w:tentative="1">
      <w:start w:val="1"/>
      <w:numFmt w:val="lowerLetter"/>
      <w:lvlText w:val="%8."/>
      <w:lvlJc w:val="left"/>
      <w:pPr>
        <w:tabs>
          <w:tab w:val="num" w:pos="6894"/>
        </w:tabs>
        <w:ind w:left="6894" w:hanging="360"/>
      </w:pPr>
    </w:lvl>
    <w:lvl w:ilvl="8" w:tplc="0414001B" w:tentative="1">
      <w:start w:val="1"/>
      <w:numFmt w:val="lowerRoman"/>
      <w:lvlText w:val="%9."/>
      <w:lvlJc w:val="right"/>
      <w:pPr>
        <w:tabs>
          <w:tab w:val="num" w:pos="7614"/>
        </w:tabs>
        <w:ind w:left="7614" w:hanging="180"/>
      </w:pPr>
    </w:lvl>
  </w:abstractNum>
  <w:abstractNum w:abstractNumId="23" w15:restartNumberingAfterBreak="0">
    <w:nsid w:val="73414B69"/>
    <w:multiLevelType w:val="hybridMultilevel"/>
    <w:tmpl w:val="DDE405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3F12835"/>
    <w:multiLevelType w:val="hybridMultilevel"/>
    <w:tmpl w:val="BD808F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7716DFC"/>
    <w:multiLevelType w:val="hybridMultilevel"/>
    <w:tmpl w:val="E612F184"/>
    <w:lvl w:ilvl="0" w:tplc="8D9AC7D6">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6" w15:restartNumberingAfterBreak="0">
    <w:nsid w:val="7AB40EBE"/>
    <w:multiLevelType w:val="hybridMultilevel"/>
    <w:tmpl w:val="CEE026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8"/>
  </w:num>
  <w:num w:numId="3">
    <w:abstractNumId w:val="20"/>
  </w:num>
  <w:num w:numId="4">
    <w:abstractNumId w:val="1"/>
  </w:num>
  <w:num w:numId="5">
    <w:abstractNumId w:val="12"/>
  </w:num>
  <w:num w:numId="6">
    <w:abstractNumId w:val="24"/>
  </w:num>
  <w:num w:numId="7">
    <w:abstractNumId w:val="7"/>
  </w:num>
  <w:num w:numId="8">
    <w:abstractNumId w:val="0"/>
  </w:num>
  <w:num w:numId="9">
    <w:abstractNumId w:val="6"/>
  </w:num>
  <w:num w:numId="10">
    <w:abstractNumId w:val="16"/>
  </w:num>
  <w:num w:numId="11">
    <w:abstractNumId w:val="3"/>
  </w:num>
  <w:num w:numId="12">
    <w:abstractNumId w:val="25"/>
  </w:num>
  <w:num w:numId="13">
    <w:abstractNumId w:val="13"/>
  </w:num>
  <w:num w:numId="14">
    <w:abstractNumId w:val="21"/>
  </w:num>
  <w:num w:numId="15">
    <w:abstractNumId w:val="9"/>
  </w:num>
  <w:num w:numId="16">
    <w:abstractNumId w:val="19"/>
  </w:num>
  <w:num w:numId="17">
    <w:abstractNumId w:val="17"/>
  </w:num>
  <w:num w:numId="18">
    <w:abstractNumId w:val="5"/>
  </w:num>
  <w:num w:numId="19">
    <w:abstractNumId w:val="18"/>
  </w:num>
  <w:num w:numId="20">
    <w:abstractNumId w:val="11"/>
  </w:num>
  <w:num w:numId="21">
    <w:abstractNumId w:val="23"/>
  </w:num>
  <w:num w:numId="22">
    <w:abstractNumId w:val="26"/>
  </w:num>
  <w:num w:numId="23">
    <w:abstractNumId w:val="4"/>
  </w:num>
  <w:num w:numId="24">
    <w:abstractNumId w:val="2"/>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1C"/>
    <w:rsid w:val="0004089D"/>
    <w:rsid w:val="00050CB6"/>
    <w:rsid w:val="000733D8"/>
    <w:rsid w:val="00077DC3"/>
    <w:rsid w:val="00094681"/>
    <w:rsid w:val="000A6334"/>
    <w:rsid w:val="000C1928"/>
    <w:rsid w:val="000C582A"/>
    <w:rsid w:val="000D0E1F"/>
    <w:rsid w:val="000D77AE"/>
    <w:rsid w:val="000E6FC0"/>
    <w:rsid w:val="000F7B64"/>
    <w:rsid w:val="001008DA"/>
    <w:rsid w:val="001011C1"/>
    <w:rsid w:val="001032EB"/>
    <w:rsid w:val="00104C0F"/>
    <w:rsid w:val="00113203"/>
    <w:rsid w:val="0012276F"/>
    <w:rsid w:val="00135A79"/>
    <w:rsid w:val="001415C2"/>
    <w:rsid w:val="001437FB"/>
    <w:rsid w:val="00146A25"/>
    <w:rsid w:val="00172557"/>
    <w:rsid w:val="00181DEA"/>
    <w:rsid w:val="0018293E"/>
    <w:rsid w:val="00182CA8"/>
    <w:rsid w:val="001A45DD"/>
    <w:rsid w:val="001C3CA4"/>
    <w:rsid w:val="001D3D18"/>
    <w:rsid w:val="001D7FA2"/>
    <w:rsid w:val="001F2808"/>
    <w:rsid w:val="001F65C5"/>
    <w:rsid w:val="00210DF8"/>
    <w:rsid w:val="00221276"/>
    <w:rsid w:val="00227B15"/>
    <w:rsid w:val="00230611"/>
    <w:rsid w:val="002317E3"/>
    <w:rsid w:val="0024649F"/>
    <w:rsid w:val="0026197D"/>
    <w:rsid w:val="00276A42"/>
    <w:rsid w:val="00283BD4"/>
    <w:rsid w:val="00295A14"/>
    <w:rsid w:val="00297905"/>
    <w:rsid w:val="002A3923"/>
    <w:rsid w:val="002D7A28"/>
    <w:rsid w:val="002E2711"/>
    <w:rsid w:val="002F1EBF"/>
    <w:rsid w:val="002F3BE0"/>
    <w:rsid w:val="00342197"/>
    <w:rsid w:val="00345FFF"/>
    <w:rsid w:val="00346907"/>
    <w:rsid w:val="003603FC"/>
    <w:rsid w:val="00360F00"/>
    <w:rsid w:val="00364BBE"/>
    <w:rsid w:val="00367E8B"/>
    <w:rsid w:val="003925F9"/>
    <w:rsid w:val="00394F49"/>
    <w:rsid w:val="00396B58"/>
    <w:rsid w:val="003A7C6B"/>
    <w:rsid w:val="003C0916"/>
    <w:rsid w:val="003C4A19"/>
    <w:rsid w:val="003D4E71"/>
    <w:rsid w:val="003F4553"/>
    <w:rsid w:val="004059BD"/>
    <w:rsid w:val="00413748"/>
    <w:rsid w:val="00420FFA"/>
    <w:rsid w:val="00423B9E"/>
    <w:rsid w:val="00431020"/>
    <w:rsid w:val="004336EB"/>
    <w:rsid w:val="0044787E"/>
    <w:rsid w:val="00450E55"/>
    <w:rsid w:val="00462BEB"/>
    <w:rsid w:val="00466F2D"/>
    <w:rsid w:val="00471A4D"/>
    <w:rsid w:val="00475853"/>
    <w:rsid w:val="00481D5D"/>
    <w:rsid w:val="00494F9B"/>
    <w:rsid w:val="004A296A"/>
    <w:rsid w:val="004B17F0"/>
    <w:rsid w:val="004B7725"/>
    <w:rsid w:val="004C759D"/>
    <w:rsid w:val="004E2890"/>
    <w:rsid w:val="004E2A16"/>
    <w:rsid w:val="004F3C3E"/>
    <w:rsid w:val="004F5F5E"/>
    <w:rsid w:val="00515855"/>
    <w:rsid w:val="00520A2D"/>
    <w:rsid w:val="0053231B"/>
    <w:rsid w:val="00533588"/>
    <w:rsid w:val="00544FCE"/>
    <w:rsid w:val="00556D98"/>
    <w:rsid w:val="0056717F"/>
    <w:rsid w:val="005837B5"/>
    <w:rsid w:val="005932C6"/>
    <w:rsid w:val="0059455B"/>
    <w:rsid w:val="00595D34"/>
    <w:rsid w:val="005B1596"/>
    <w:rsid w:val="005B4BF5"/>
    <w:rsid w:val="005B50F2"/>
    <w:rsid w:val="005E2B87"/>
    <w:rsid w:val="005E75B9"/>
    <w:rsid w:val="005F02D0"/>
    <w:rsid w:val="005F73F8"/>
    <w:rsid w:val="006022D3"/>
    <w:rsid w:val="00605B46"/>
    <w:rsid w:val="00610700"/>
    <w:rsid w:val="00612064"/>
    <w:rsid w:val="00624457"/>
    <w:rsid w:val="00625873"/>
    <w:rsid w:val="00637BCE"/>
    <w:rsid w:val="0066172A"/>
    <w:rsid w:val="00677CB9"/>
    <w:rsid w:val="00691850"/>
    <w:rsid w:val="00694370"/>
    <w:rsid w:val="006A2B20"/>
    <w:rsid w:val="006A3B1B"/>
    <w:rsid w:val="006A6167"/>
    <w:rsid w:val="006B29DE"/>
    <w:rsid w:val="006C4E57"/>
    <w:rsid w:val="006C4FB0"/>
    <w:rsid w:val="006C7363"/>
    <w:rsid w:val="006D255B"/>
    <w:rsid w:val="006F773E"/>
    <w:rsid w:val="00725057"/>
    <w:rsid w:val="00743752"/>
    <w:rsid w:val="00746B4A"/>
    <w:rsid w:val="00751451"/>
    <w:rsid w:val="007701C0"/>
    <w:rsid w:val="007752E4"/>
    <w:rsid w:val="00782BA6"/>
    <w:rsid w:val="007B1638"/>
    <w:rsid w:val="007B6501"/>
    <w:rsid w:val="007C70F8"/>
    <w:rsid w:val="007D49BB"/>
    <w:rsid w:val="007E2E79"/>
    <w:rsid w:val="007E4ECF"/>
    <w:rsid w:val="007E559E"/>
    <w:rsid w:val="007E5C68"/>
    <w:rsid w:val="007E7CB3"/>
    <w:rsid w:val="007F2663"/>
    <w:rsid w:val="007F6C99"/>
    <w:rsid w:val="007F7215"/>
    <w:rsid w:val="008210CA"/>
    <w:rsid w:val="00831E4D"/>
    <w:rsid w:val="00850E49"/>
    <w:rsid w:val="008552CA"/>
    <w:rsid w:val="00873870"/>
    <w:rsid w:val="008818BA"/>
    <w:rsid w:val="00893B31"/>
    <w:rsid w:val="008A4C1C"/>
    <w:rsid w:val="008B0D61"/>
    <w:rsid w:val="008D05DC"/>
    <w:rsid w:val="008D5C79"/>
    <w:rsid w:val="008D6AEF"/>
    <w:rsid w:val="008F1330"/>
    <w:rsid w:val="008F628E"/>
    <w:rsid w:val="0090355E"/>
    <w:rsid w:val="009323C9"/>
    <w:rsid w:val="00940B29"/>
    <w:rsid w:val="009426BF"/>
    <w:rsid w:val="00942F25"/>
    <w:rsid w:val="00943941"/>
    <w:rsid w:val="009473D9"/>
    <w:rsid w:val="0095519A"/>
    <w:rsid w:val="009731D4"/>
    <w:rsid w:val="00983682"/>
    <w:rsid w:val="009A4FE3"/>
    <w:rsid w:val="009B278D"/>
    <w:rsid w:val="009B3C39"/>
    <w:rsid w:val="009C2D42"/>
    <w:rsid w:val="009C365B"/>
    <w:rsid w:val="009C4F24"/>
    <w:rsid w:val="009C6688"/>
    <w:rsid w:val="009D10A1"/>
    <w:rsid w:val="009E4698"/>
    <w:rsid w:val="00A5249B"/>
    <w:rsid w:val="00A540C6"/>
    <w:rsid w:val="00A56ADE"/>
    <w:rsid w:val="00A7577D"/>
    <w:rsid w:val="00A8360A"/>
    <w:rsid w:val="00A844CB"/>
    <w:rsid w:val="00A9529A"/>
    <w:rsid w:val="00A97D80"/>
    <w:rsid w:val="00AD551B"/>
    <w:rsid w:val="00AE12CD"/>
    <w:rsid w:val="00AE7BC5"/>
    <w:rsid w:val="00AF05E8"/>
    <w:rsid w:val="00AF61A4"/>
    <w:rsid w:val="00B0150E"/>
    <w:rsid w:val="00B068C0"/>
    <w:rsid w:val="00B241C4"/>
    <w:rsid w:val="00B264A0"/>
    <w:rsid w:val="00B27467"/>
    <w:rsid w:val="00B304ED"/>
    <w:rsid w:val="00B32E6B"/>
    <w:rsid w:val="00B403EC"/>
    <w:rsid w:val="00B414F4"/>
    <w:rsid w:val="00B45595"/>
    <w:rsid w:val="00B56B6E"/>
    <w:rsid w:val="00B62F04"/>
    <w:rsid w:val="00B654E4"/>
    <w:rsid w:val="00B76221"/>
    <w:rsid w:val="00B926A1"/>
    <w:rsid w:val="00B95212"/>
    <w:rsid w:val="00BA50E2"/>
    <w:rsid w:val="00BA6704"/>
    <w:rsid w:val="00BB43E4"/>
    <w:rsid w:val="00BB4FDB"/>
    <w:rsid w:val="00BC5A7B"/>
    <w:rsid w:val="00BD3272"/>
    <w:rsid w:val="00BD46A6"/>
    <w:rsid w:val="00BE699C"/>
    <w:rsid w:val="00BF0F10"/>
    <w:rsid w:val="00BF591C"/>
    <w:rsid w:val="00C10B84"/>
    <w:rsid w:val="00C13503"/>
    <w:rsid w:val="00C16F43"/>
    <w:rsid w:val="00C17170"/>
    <w:rsid w:val="00C30B36"/>
    <w:rsid w:val="00C375CD"/>
    <w:rsid w:val="00C50EFF"/>
    <w:rsid w:val="00C70C90"/>
    <w:rsid w:val="00C70DEF"/>
    <w:rsid w:val="00C72333"/>
    <w:rsid w:val="00C75431"/>
    <w:rsid w:val="00C9658B"/>
    <w:rsid w:val="00CB0F51"/>
    <w:rsid w:val="00CC5E6E"/>
    <w:rsid w:val="00CE0B43"/>
    <w:rsid w:val="00D258AB"/>
    <w:rsid w:val="00D34A1C"/>
    <w:rsid w:val="00D35DF3"/>
    <w:rsid w:val="00D630BA"/>
    <w:rsid w:val="00D65EE9"/>
    <w:rsid w:val="00D86C8B"/>
    <w:rsid w:val="00D87A29"/>
    <w:rsid w:val="00D90C11"/>
    <w:rsid w:val="00DA6BE9"/>
    <w:rsid w:val="00DC3E18"/>
    <w:rsid w:val="00DC49EF"/>
    <w:rsid w:val="00DE43BB"/>
    <w:rsid w:val="00DF25F3"/>
    <w:rsid w:val="00DF6296"/>
    <w:rsid w:val="00E00DDC"/>
    <w:rsid w:val="00E0706E"/>
    <w:rsid w:val="00E16865"/>
    <w:rsid w:val="00E82CDB"/>
    <w:rsid w:val="00E84D53"/>
    <w:rsid w:val="00EA2064"/>
    <w:rsid w:val="00EA271C"/>
    <w:rsid w:val="00EC6384"/>
    <w:rsid w:val="00ED44A6"/>
    <w:rsid w:val="00EE6E5A"/>
    <w:rsid w:val="00EE762E"/>
    <w:rsid w:val="00EF4818"/>
    <w:rsid w:val="00F01474"/>
    <w:rsid w:val="00F15254"/>
    <w:rsid w:val="00F41609"/>
    <w:rsid w:val="00F42D50"/>
    <w:rsid w:val="00F461FD"/>
    <w:rsid w:val="00F52091"/>
    <w:rsid w:val="00F53F2C"/>
    <w:rsid w:val="00F55C57"/>
    <w:rsid w:val="00F72165"/>
    <w:rsid w:val="00F807D3"/>
    <w:rsid w:val="00F90148"/>
    <w:rsid w:val="00F92544"/>
    <w:rsid w:val="00FA679D"/>
    <w:rsid w:val="00FC262F"/>
    <w:rsid w:val="00FE5451"/>
    <w:rsid w:val="00FF181F"/>
    <w:rsid w:val="00FF235E"/>
    <w:rsid w:val="00FF4E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70ECD-5C9F-4232-B04F-A659432F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681"/>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FA679D"/>
    <w:pPr>
      <w:tabs>
        <w:tab w:val="center" w:pos="4536"/>
        <w:tab w:val="right" w:pos="9072"/>
      </w:tabs>
    </w:pPr>
  </w:style>
  <w:style w:type="character" w:styleId="Sidetall">
    <w:name w:val="page number"/>
    <w:basedOn w:val="Standardskriftforavsnitt"/>
    <w:rsid w:val="00FA679D"/>
  </w:style>
  <w:style w:type="paragraph" w:styleId="Topptekst">
    <w:name w:val="header"/>
    <w:basedOn w:val="Normal"/>
    <w:link w:val="TopptekstTegn"/>
    <w:uiPriority w:val="99"/>
    <w:rsid w:val="00FA679D"/>
    <w:pPr>
      <w:tabs>
        <w:tab w:val="center" w:pos="4536"/>
        <w:tab w:val="right" w:pos="9072"/>
      </w:tabs>
    </w:pPr>
  </w:style>
  <w:style w:type="character" w:styleId="Hyperkobling">
    <w:name w:val="Hyperlink"/>
    <w:rsid w:val="00471A4D"/>
    <w:rPr>
      <w:color w:val="0000FF"/>
      <w:u w:val="single"/>
    </w:rPr>
  </w:style>
  <w:style w:type="paragraph" w:styleId="Bobletekst">
    <w:name w:val="Balloon Text"/>
    <w:basedOn w:val="Normal"/>
    <w:link w:val="BobletekstTegn"/>
    <w:uiPriority w:val="99"/>
    <w:semiHidden/>
    <w:rsid w:val="00077DC3"/>
    <w:rPr>
      <w:rFonts w:ascii="Tahoma" w:hAnsi="Tahoma" w:cs="Tahoma"/>
      <w:sz w:val="16"/>
      <w:szCs w:val="16"/>
    </w:rPr>
  </w:style>
  <w:style w:type="table" w:styleId="Tabellrutenett">
    <w:name w:val="Table Grid"/>
    <w:basedOn w:val="Vanligtabell"/>
    <w:rsid w:val="007F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8">
    <w:name w:val="lead8"/>
    <w:basedOn w:val="Normal"/>
    <w:rsid w:val="00831E4D"/>
    <w:pPr>
      <w:shd w:val="clear" w:color="auto" w:fill="FFFFFF"/>
      <w:spacing w:before="100" w:beforeAutospacing="1" w:after="100" w:afterAutospacing="1"/>
    </w:pPr>
  </w:style>
  <w:style w:type="character" w:customStyle="1" w:styleId="TopptekstTegn">
    <w:name w:val="Topptekst Tegn"/>
    <w:link w:val="Topptekst"/>
    <w:uiPriority w:val="99"/>
    <w:rsid w:val="004E2A16"/>
    <w:rPr>
      <w:sz w:val="24"/>
      <w:szCs w:val="24"/>
    </w:rPr>
  </w:style>
  <w:style w:type="character" w:styleId="Utheving">
    <w:name w:val="Emphasis"/>
    <w:qFormat/>
    <w:rsid w:val="004E2A16"/>
    <w:rPr>
      <w:i/>
      <w:iCs/>
    </w:rPr>
  </w:style>
  <w:style w:type="paragraph" w:styleId="NormalWeb">
    <w:name w:val="Normal (Web)"/>
    <w:basedOn w:val="Normal"/>
    <w:uiPriority w:val="99"/>
    <w:unhideWhenUsed/>
    <w:rsid w:val="00515855"/>
  </w:style>
  <w:style w:type="paragraph" w:styleId="Listeavsnitt">
    <w:name w:val="List Paragraph"/>
    <w:basedOn w:val="Normal"/>
    <w:uiPriority w:val="34"/>
    <w:qFormat/>
    <w:rsid w:val="00F92544"/>
    <w:pPr>
      <w:ind w:left="720"/>
      <w:contextualSpacing/>
    </w:pPr>
  </w:style>
  <w:style w:type="numbering" w:customStyle="1" w:styleId="Ingenliste1">
    <w:name w:val="Ingen liste1"/>
    <w:next w:val="Ingenliste"/>
    <w:uiPriority w:val="99"/>
    <w:semiHidden/>
    <w:unhideWhenUsed/>
    <w:rsid w:val="00360F00"/>
  </w:style>
  <w:style w:type="paragraph" w:customStyle="1" w:styleId="Prosess">
    <w:name w:val="Prosess"/>
    <w:basedOn w:val="Normal"/>
    <w:rsid w:val="00360F00"/>
    <w:pPr>
      <w:jc w:val="center"/>
    </w:pPr>
    <w:rPr>
      <w:caps/>
      <w:sz w:val="28"/>
      <w:szCs w:val="20"/>
    </w:rPr>
  </w:style>
  <w:style w:type="paragraph" w:customStyle="1" w:styleId="Fullmektig">
    <w:name w:val="Fullmektig"/>
    <w:basedOn w:val="Normal"/>
    <w:rsid w:val="00360F00"/>
    <w:pPr>
      <w:ind w:left="851"/>
    </w:pPr>
    <w:rPr>
      <w:i/>
      <w:szCs w:val="20"/>
    </w:rPr>
  </w:style>
  <w:style w:type="paragraph" w:customStyle="1" w:styleId="brev">
    <w:name w:val="brev"/>
    <w:basedOn w:val="Normal"/>
    <w:rsid w:val="00360F00"/>
    <w:pPr>
      <w:jc w:val="both"/>
    </w:pPr>
    <w:rPr>
      <w:szCs w:val="20"/>
    </w:rPr>
  </w:style>
  <w:style w:type="character" w:customStyle="1" w:styleId="BobletekstTegn">
    <w:name w:val="Bobletekst Tegn"/>
    <w:basedOn w:val="Standardskriftforavsnitt"/>
    <w:link w:val="Bobletekst"/>
    <w:uiPriority w:val="99"/>
    <w:semiHidden/>
    <w:rsid w:val="00360F00"/>
    <w:rPr>
      <w:rFonts w:ascii="Tahoma" w:hAnsi="Tahoma" w:cs="Tahoma"/>
      <w:sz w:val="16"/>
      <w:szCs w:val="16"/>
    </w:rPr>
  </w:style>
  <w:style w:type="table" w:customStyle="1" w:styleId="Tabellrutenett1">
    <w:name w:val="Tabellrutenett1"/>
    <w:basedOn w:val="Vanligtabell"/>
    <w:next w:val="Tabellrutenett"/>
    <w:uiPriority w:val="59"/>
    <w:rsid w:val="00360F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360F00"/>
    <w:rPr>
      <w:sz w:val="24"/>
      <w:szCs w:val="24"/>
    </w:rPr>
  </w:style>
  <w:style w:type="character" w:styleId="Merknadsreferanse">
    <w:name w:val="annotation reference"/>
    <w:basedOn w:val="Standardskriftforavsnitt"/>
    <w:uiPriority w:val="99"/>
    <w:unhideWhenUsed/>
    <w:rsid w:val="00360F00"/>
    <w:rPr>
      <w:sz w:val="16"/>
      <w:szCs w:val="16"/>
    </w:rPr>
  </w:style>
  <w:style w:type="paragraph" w:styleId="Merknadstekst">
    <w:name w:val="annotation text"/>
    <w:basedOn w:val="Normal"/>
    <w:link w:val="MerknadstekstTegn"/>
    <w:uiPriority w:val="99"/>
    <w:unhideWhenUsed/>
    <w:rsid w:val="00360F00"/>
    <w:rPr>
      <w:sz w:val="20"/>
      <w:szCs w:val="20"/>
    </w:rPr>
  </w:style>
  <w:style w:type="character" w:customStyle="1" w:styleId="MerknadstekstTegn">
    <w:name w:val="Merknadstekst Tegn"/>
    <w:basedOn w:val="Standardskriftforavsnitt"/>
    <w:link w:val="Merknadstekst"/>
    <w:uiPriority w:val="99"/>
    <w:rsid w:val="00360F00"/>
  </w:style>
  <w:style w:type="paragraph" w:styleId="Kommentaremne">
    <w:name w:val="annotation subject"/>
    <w:basedOn w:val="Merknadstekst"/>
    <w:next w:val="Merknadstekst"/>
    <w:link w:val="KommentaremneTegn"/>
    <w:uiPriority w:val="99"/>
    <w:unhideWhenUsed/>
    <w:rsid w:val="00360F00"/>
    <w:rPr>
      <w:b/>
      <w:bCs/>
    </w:rPr>
  </w:style>
  <w:style w:type="character" w:customStyle="1" w:styleId="KommentaremneTegn">
    <w:name w:val="Kommentaremne Tegn"/>
    <w:basedOn w:val="MerknadstekstTegn"/>
    <w:link w:val="Kommentaremne"/>
    <w:uiPriority w:val="99"/>
    <w:rsid w:val="00360F00"/>
    <w:rPr>
      <w:b/>
      <w:bCs/>
    </w:rPr>
  </w:style>
  <w:style w:type="paragraph" w:styleId="Rentekst">
    <w:name w:val="Plain Text"/>
    <w:basedOn w:val="Normal"/>
    <w:link w:val="RentekstTegn"/>
    <w:uiPriority w:val="99"/>
    <w:unhideWhenUsed/>
    <w:rsid w:val="009D10A1"/>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D10A1"/>
    <w:rPr>
      <w:rFonts w:ascii="Calibri" w:eastAsiaTheme="minorHAnsi" w:hAnsi="Calibri" w:cstheme="minorBidi"/>
      <w:sz w:val="22"/>
      <w:szCs w:val="21"/>
      <w:lang w:eastAsia="en-US"/>
    </w:rPr>
  </w:style>
  <w:style w:type="paragraph" w:styleId="Fotnotetekst">
    <w:name w:val="footnote text"/>
    <w:basedOn w:val="Normal"/>
    <w:link w:val="FotnotetekstTegn"/>
    <w:semiHidden/>
    <w:unhideWhenUsed/>
    <w:rsid w:val="005E75B9"/>
    <w:rPr>
      <w:sz w:val="20"/>
      <w:szCs w:val="20"/>
    </w:rPr>
  </w:style>
  <w:style w:type="character" w:customStyle="1" w:styleId="FotnotetekstTegn">
    <w:name w:val="Fotnotetekst Tegn"/>
    <w:basedOn w:val="Standardskriftforavsnitt"/>
    <w:link w:val="Fotnotetekst"/>
    <w:semiHidden/>
    <w:rsid w:val="005E75B9"/>
  </w:style>
  <w:style w:type="character" w:styleId="Fotnotereferanse">
    <w:name w:val="footnote reference"/>
    <w:basedOn w:val="Standardskriftforavsnitt"/>
    <w:semiHidden/>
    <w:unhideWhenUsed/>
    <w:rsid w:val="005E7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38040">
      <w:bodyDiv w:val="1"/>
      <w:marLeft w:val="0"/>
      <w:marRight w:val="0"/>
      <w:marTop w:val="0"/>
      <w:marBottom w:val="0"/>
      <w:divBdr>
        <w:top w:val="none" w:sz="0" w:space="0" w:color="auto"/>
        <w:left w:val="none" w:sz="0" w:space="0" w:color="auto"/>
        <w:bottom w:val="none" w:sz="0" w:space="0" w:color="auto"/>
        <w:right w:val="none" w:sz="0" w:space="0" w:color="auto"/>
      </w:divBdr>
      <w:divsChild>
        <w:div w:id="741755441">
          <w:marLeft w:val="0"/>
          <w:marRight w:val="0"/>
          <w:marTop w:val="0"/>
          <w:marBottom w:val="0"/>
          <w:divBdr>
            <w:top w:val="none" w:sz="0" w:space="0" w:color="auto"/>
            <w:left w:val="none" w:sz="0" w:space="0" w:color="auto"/>
            <w:bottom w:val="none" w:sz="0" w:space="0" w:color="auto"/>
            <w:right w:val="none" w:sz="0" w:space="0" w:color="auto"/>
          </w:divBdr>
          <w:divsChild>
            <w:div w:id="2069110784">
              <w:marLeft w:val="0"/>
              <w:marRight w:val="0"/>
              <w:marTop w:val="0"/>
              <w:marBottom w:val="300"/>
              <w:divBdr>
                <w:top w:val="none" w:sz="0" w:space="0" w:color="auto"/>
                <w:left w:val="none" w:sz="0" w:space="0" w:color="auto"/>
                <w:bottom w:val="none" w:sz="0" w:space="0" w:color="auto"/>
                <w:right w:val="none" w:sz="0" w:space="0" w:color="auto"/>
              </w:divBdr>
              <w:divsChild>
                <w:div w:id="906307777">
                  <w:marLeft w:val="0"/>
                  <w:marRight w:val="0"/>
                  <w:marTop w:val="0"/>
                  <w:marBottom w:val="0"/>
                  <w:divBdr>
                    <w:top w:val="none" w:sz="0" w:space="0" w:color="auto"/>
                    <w:left w:val="none" w:sz="0" w:space="0" w:color="auto"/>
                    <w:bottom w:val="none" w:sz="0" w:space="0" w:color="auto"/>
                    <w:right w:val="none" w:sz="0" w:space="0" w:color="auto"/>
                  </w:divBdr>
                  <w:divsChild>
                    <w:div w:id="376709938">
                      <w:marLeft w:val="0"/>
                      <w:marRight w:val="0"/>
                      <w:marTop w:val="0"/>
                      <w:marBottom w:val="0"/>
                      <w:divBdr>
                        <w:top w:val="none" w:sz="0" w:space="0" w:color="auto"/>
                        <w:left w:val="none" w:sz="0" w:space="0" w:color="auto"/>
                        <w:bottom w:val="single" w:sz="6" w:space="8" w:color="CCCCCC"/>
                        <w:right w:val="none" w:sz="0" w:space="0" w:color="auto"/>
                      </w:divBdr>
                      <w:divsChild>
                        <w:div w:id="177624331">
                          <w:marLeft w:val="0"/>
                          <w:marRight w:val="0"/>
                          <w:marTop w:val="0"/>
                          <w:marBottom w:val="0"/>
                          <w:divBdr>
                            <w:top w:val="none" w:sz="0" w:space="0" w:color="auto"/>
                            <w:left w:val="none" w:sz="0" w:space="0" w:color="auto"/>
                            <w:bottom w:val="none" w:sz="0" w:space="0" w:color="auto"/>
                            <w:right w:val="none" w:sz="0" w:space="0" w:color="auto"/>
                          </w:divBdr>
                          <w:divsChild>
                            <w:div w:id="7384026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455332">
      <w:bodyDiv w:val="1"/>
      <w:marLeft w:val="0"/>
      <w:marRight w:val="0"/>
      <w:marTop w:val="0"/>
      <w:marBottom w:val="0"/>
      <w:divBdr>
        <w:top w:val="none" w:sz="0" w:space="0" w:color="auto"/>
        <w:left w:val="none" w:sz="0" w:space="0" w:color="auto"/>
        <w:bottom w:val="none" w:sz="0" w:space="0" w:color="auto"/>
        <w:right w:val="none" w:sz="0" w:space="0" w:color="auto"/>
      </w:divBdr>
      <w:divsChild>
        <w:div w:id="1451624378">
          <w:marLeft w:val="0"/>
          <w:marRight w:val="0"/>
          <w:marTop w:val="0"/>
          <w:marBottom w:val="0"/>
          <w:divBdr>
            <w:top w:val="none" w:sz="0" w:space="0" w:color="auto"/>
            <w:left w:val="none" w:sz="0" w:space="0" w:color="auto"/>
            <w:bottom w:val="none" w:sz="0" w:space="0" w:color="auto"/>
            <w:right w:val="none" w:sz="0" w:space="0" w:color="auto"/>
          </w:divBdr>
          <w:divsChild>
            <w:div w:id="162624749">
              <w:marLeft w:val="0"/>
              <w:marRight w:val="0"/>
              <w:marTop w:val="0"/>
              <w:marBottom w:val="272"/>
              <w:divBdr>
                <w:top w:val="none" w:sz="0" w:space="0" w:color="auto"/>
                <w:left w:val="none" w:sz="0" w:space="0" w:color="auto"/>
                <w:bottom w:val="none" w:sz="0" w:space="0" w:color="auto"/>
                <w:right w:val="none" w:sz="0" w:space="0" w:color="auto"/>
              </w:divBdr>
              <w:divsChild>
                <w:div w:id="493759064">
                  <w:marLeft w:val="0"/>
                  <w:marRight w:val="0"/>
                  <w:marTop w:val="0"/>
                  <w:marBottom w:val="0"/>
                  <w:divBdr>
                    <w:top w:val="none" w:sz="0" w:space="0" w:color="auto"/>
                    <w:left w:val="none" w:sz="0" w:space="0" w:color="auto"/>
                    <w:bottom w:val="none" w:sz="0" w:space="0" w:color="auto"/>
                    <w:right w:val="none" w:sz="0" w:space="0" w:color="auto"/>
                  </w:divBdr>
                  <w:divsChild>
                    <w:div w:id="1931236575">
                      <w:marLeft w:val="0"/>
                      <w:marRight w:val="0"/>
                      <w:marTop w:val="0"/>
                      <w:marBottom w:val="0"/>
                      <w:divBdr>
                        <w:top w:val="none" w:sz="0" w:space="0" w:color="auto"/>
                        <w:left w:val="none" w:sz="0" w:space="0" w:color="auto"/>
                        <w:bottom w:val="none" w:sz="0" w:space="0" w:color="auto"/>
                        <w:right w:val="none" w:sz="0" w:space="0" w:color="auto"/>
                      </w:divBdr>
                      <w:divsChild>
                        <w:div w:id="1118839720">
                          <w:marLeft w:val="0"/>
                          <w:marRight w:val="0"/>
                          <w:marTop w:val="0"/>
                          <w:marBottom w:val="68"/>
                          <w:divBdr>
                            <w:top w:val="none" w:sz="0" w:space="0" w:color="auto"/>
                            <w:left w:val="none" w:sz="0" w:space="0" w:color="auto"/>
                            <w:bottom w:val="single" w:sz="6" w:space="5" w:color="CCCCCC"/>
                            <w:right w:val="none" w:sz="0" w:space="0" w:color="auto"/>
                          </w:divBdr>
                          <w:divsChild>
                            <w:div w:id="410584426">
                              <w:marLeft w:val="0"/>
                              <w:marRight w:val="0"/>
                              <w:marTop w:val="0"/>
                              <w:marBottom w:val="0"/>
                              <w:divBdr>
                                <w:top w:val="none" w:sz="0" w:space="0" w:color="auto"/>
                                <w:left w:val="none" w:sz="0" w:space="0" w:color="auto"/>
                                <w:bottom w:val="none" w:sz="0" w:space="0" w:color="auto"/>
                                <w:right w:val="none" w:sz="0" w:space="0" w:color="auto"/>
                              </w:divBdr>
                              <w:divsChild>
                                <w:div w:id="59116028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rpaul@online.n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rpaul@online.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lf%20Magne%20Nilsen\Programdata\Microsoft\Maler\brevmal%20tsp%2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E856-BC2F-46FD-834D-E8A97BFB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tsp 1</Template>
  <TotalTime>1</TotalTime>
  <Pages>4</Pages>
  <Words>1604</Words>
  <Characters>8503</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FHL, NHO S</vt:lpstr>
    </vt:vector>
  </TitlesOfParts>
  <Company/>
  <LinksUpToDate>false</LinksUpToDate>
  <CharactersWithSpaces>10087</CharactersWithSpaces>
  <SharedDoc>false</SharedDoc>
  <HLinks>
    <vt:vector size="12" baseType="variant">
      <vt:variant>
        <vt:i4>6226038</vt:i4>
      </vt:variant>
      <vt:variant>
        <vt:i4>10</vt:i4>
      </vt:variant>
      <vt:variant>
        <vt:i4>0</vt:i4>
      </vt:variant>
      <vt:variant>
        <vt:i4>5</vt:i4>
      </vt:variant>
      <vt:variant>
        <vt:lpwstr>mailto:trpaul@online.no</vt:lpwstr>
      </vt:variant>
      <vt:variant>
        <vt:lpwstr/>
      </vt:variant>
      <vt:variant>
        <vt:i4>6226038</vt:i4>
      </vt:variant>
      <vt:variant>
        <vt:i4>7</vt:i4>
      </vt:variant>
      <vt:variant>
        <vt:i4>0</vt:i4>
      </vt:variant>
      <vt:variant>
        <vt:i4>5</vt:i4>
      </vt:variant>
      <vt:variant>
        <vt:lpwstr>mailto:trpaul@online.no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FHL, NHO S</dc:title>
  <dc:creator>Ulf Magne Nilsen</dc:creator>
  <cp:lastModifiedBy>Trond S Paulsen</cp:lastModifiedBy>
  <cp:revision>2</cp:revision>
  <cp:lastPrinted>2016-11-28T11:37:00Z</cp:lastPrinted>
  <dcterms:created xsi:type="dcterms:W3CDTF">2017-09-01T11:50:00Z</dcterms:created>
  <dcterms:modified xsi:type="dcterms:W3CDTF">2017-09-01T11:50:00Z</dcterms:modified>
</cp:coreProperties>
</file>